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41F1B" w14:textId="77777777" w:rsidR="00221640" w:rsidRPr="00221640" w:rsidRDefault="00221640" w:rsidP="00405D59">
      <w:pPr>
        <w:spacing w:after="0" w:line="240" w:lineRule="auto"/>
        <w:jc w:val="center"/>
        <w:rPr>
          <w:rFonts w:ascii="Calibri" w:hAnsi="Calibri" w:cs="Times New Roman"/>
          <w:b/>
          <w:sz w:val="16"/>
          <w:szCs w:val="1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21640" w14:paraId="2AD25035" w14:textId="77777777" w:rsidTr="00221640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06A0A14" w14:textId="77777777" w:rsidR="00221640" w:rsidRDefault="00221640" w:rsidP="00405D59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 w:rsidRPr="00221640">
              <w:rPr>
                <w:rFonts w:ascii="Calibri" w:hAnsi="Calibri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20D8C333" wp14:editId="36C54E66">
                  <wp:extent cx="1790700" cy="948757"/>
                  <wp:effectExtent l="0" t="0" r="0" b="3810"/>
                  <wp:docPr id="5" name="Picture 5" descr="C:\Users\bmoldauer\AppData\Local\Microsoft\Windows\INetCache\Content.Outlook\IHNKAD73\c4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moldauer\AppData\Local\Microsoft\Windows\INetCache\Content.Outlook\IHNKAD73\c4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95" cy="94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0F116EBF" w14:textId="77777777" w:rsidR="00221640" w:rsidRDefault="00221640" w:rsidP="00405D59">
            <w:pPr>
              <w:jc w:val="center"/>
              <w:rPr>
                <w:rFonts w:ascii="Calibri" w:hAnsi="Calibri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A5D74D9" wp14:editId="7E5881D8">
                  <wp:extent cx="2151307" cy="752475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4791" cy="753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5BCB48" w14:textId="77777777" w:rsidR="00221640" w:rsidRDefault="00221640" w:rsidP="00405D59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</w:p>
    <w:p w14:paraId="199274AE" w14:textId="77777777" w:rsidR="00405D59" w:rsidRPr="00405D59" w:rsidRDefault="00405D59" w:rsidP="00405D59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05D59">
        <w:rPr>
          <w:rFonts w:ascii="Calibri" w:hAnsi="Calibri" w:cs="Times New Roman"/>
          <w:b/>
          <w:sz w:val="28"/>
          <w:szCs w:val="28"/>
        </w:rPr>
        <w:t xml:space="preserve">CARES Act: ESSA Waivers </w:t>
      </w:r>
    </w:p>
    <w:p w14:paraId="229303CA" w14:textId="77777777" w:rsidR="00405D59" w:rsidRPr="00405D59" w:rsidRDefault="00405D59" w:rsidP="00405D59">
      <w:pPr>
        <w:spacing w:after="0" w:line="240" w:lineRule="auto"/>
        <w:jc w:val="center"/>
        <w:rPr>
          <w:rFonts w:ascii="Calibri" w:hAnsi="Calibri" w:cs="Times New Roman"/>
          <w:b/>
          <w:sz w:val="28"/>
          <w:szCs w:val="28"/>
        </w:rPr>
      </w:pPr>
      <w:r w:rsidRPr="00405D59">
        <w:rPr>
          <w:rFonts w:ascii="Calibri" w:hAnsi="Calibri" w:cs="Times New Roman"/>
          <w:b/>
          <w:sz w:val="28"/>
          <w:szCs w:val="28"/>
        </w:rPr>
        <w:t>Questions &amp; Answers</w:t>
      </w:r>
    </w:p>
    <w:p w14:paraId="7D052848" w14:textId="77777777" w:rsidR="00405D59" w:rsidRDefault="00405D59" w:rsidP="00405D59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8F60077" w14:textId="77777777" w:rsidR="00CB7676" w:rsidRPr="00CB7676" w:rsidRDefault="00CB7676" w:rsidP="008D3646">
      <w:pPr>
        <w:spacing w:after="0" w:line="240" w:lineRule="auto"/>
        <w:rPr>
          <w:rFonts w:ascii="Calibri" w:hAnsi="Calibri"/>
          <w:i/>
          <w:sz w:val="24"/>
          <w:szCs w:val="24"/>
        </w:rPr>
      </w:pPr>
      <w:r w:rsidRPr="00CB7676">
        <w:rPr>
          <w:rFonts w:ascii="Calibri" w:hAnsi="Calibri"/>
          <w:i/>
          <w:sz w:val="24"/>
          <w:szCs w:val="24"/>
        </w:rPr>
        <w:t xml:space="preserve">On March 27, the $2-trillion Coronavirus Aid, Relief and Economic Security (CARES) Act was signed into law. The bill is a good start and, while not perfect, does address many needs of our students, educators, and schools. It is intended to help stabilize workers, families, and the economy during the COVID-19 public health crisis and is the third relief package Congress has passed during the coronavirus pandemic. NEA is also advocating for additional stimulus funds in a fourth package. </w:t>
      </w:r>
    </w:p>
    <w:p w14:paraId="4A5244F7" w14:textId="5E0D7BEA" w:rsidR="008C21B4" w:rsidRPr="00732562" w:rsidRDefault="008C21B4" w:rsidP="008D3646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14:paraId="512C8D00" w14:textId="5E73B4C9" w:rsidR="0061438C" w:rsidRPr="00732562" w:rsidRDefault="00B13C85" w:rsidP="0046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ESEA/ESSA waiver authority and </w:t>
      </w:r>
      <w:r w:rsidR="00CB767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dministrative action</w:t>
      </w:r>
    </w:p>
    <w:p w14:paraId="352A079A" w14:textId="77777777" w:rsidR="00405D59" w:rsidRPr="00732562" w:rsidRDefault="00405D59" w:rsidP="00405D5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The U.S. Department of Education </w:t>
      </w:r>
      <w:r w:rsidR="00A82C2E">
        <w:rPr>
          <w:rFonts w:ascii="Calibri" w:eastAsia="Times New Roman" w:hAnsi="Calibri" w:cs="Times New Roman"/>
          <w:color w:val="000000"/>
          <w:sz w:val="24"/>
          <w:szCs w:val="24"/>
        </w:rPr>
        <w:t xml:space="preserve">currently </w:t>
      </w:r>
      <w:r w:rsidR="008D3646">
        <w:rPr>
          <w:rFonts w:ascii="Calibri" w:eastAsia="Times New Roman" w:hAnsi="Calibri" w:cs="Times New Roman"/>
          <w:color w:val="000000"/>
          <w:sz w:val="24"/>
          <w:szCs w:val="24"/>
        </w:rPr>
        <w:t xml:space="preserve">has </w:t>
      </w:r>
      <w:r w:rsidR="00B13C85">
        <w:rPr>
          <w:rFonts w:ascii="Calibri" w:eastAsia="Times New Roman" w:hAnsi="Calibri" w:cs="Times New Roman"/>
          <w:color w:val="000000"/>
          <w:sz w:val="24"/>
          <w:szCs w:val="24"/>
        </w:rPr>
        <w:t>limited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authority to allow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schools, districts, and 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tates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some fle</w:t>
      </w:r>
      <w:r w:rsidR="00B13C85">
        <w:rPr>
          <w:rFonts w:ascii="Calibri" w:eastAsia="Times New Roman" w:hAnsi="Calibri" w:cs="Times New Roman"/>
          <w:color w:val="000000"/>
          <w:sz w:val="24"/>
          <w:szCs w:val="24"/>
        </w:rPr>
        <w:t xml:space="preserve">xibility in carrying out certain provision of the </w:t>
      </w:r>
      <w:r w:rsidR="00B13C85" w:rsidRPr="008D3646">
        <w:rPr>
          <w:rFonts w:ascii="Calibri" w:eastAsia="Times New Roman" w:hAnsi="Calibri" w:cs="Times New Roman"/>
          <w:color w:val="000000"/>
          <w:sz w:val="24"/>
          <w:szCs w:val="24"/>
        </w:rPr>
        <w:t>Elementary and Secondary Education Act</w:t>
      </w:r>
      <w:r w:rsidR="00B13C85">
        <w:rPr>
          <w:rFonts w:ascii="Calibri" w:eastAsia="Times New Roman" w:hAnsi="Calibri" w:cs="Times New Roman"/>
          <w:color w:val="000000"/>
          <w:sz w:val="24"/>
          <w:szCs w:val="24"/>
        </w:rPr>
        <w:t xml:space="preserve"> (ESEA) as amended by </w:t>
      </w:r>
      <w:proofErr w:type="gramStart"/>
      <w:r w:rsidR="00B13C85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="00B13C85" w:rsidRPr="008D3646">
        <w:rPr>
          <w:rFonts w:ascii="Calibri" w:eastAsia="Times New Roman" w:hAnsi="Calibri" w:cs="Times New Roman"/>
          <w:color w:val="000000"/>
          <w:sz w:val="24"/>
          <w:szCs w:val="24"/>
        </w:rPr>
        <w:t>Every</w:t>
      </w:r>
      <w:proofErr w:type="gramEnd"/>
      <w:r w:rsidR="00B13C85" w:rsidRPr="008D3646">
        <w:rPr>
          <w:rFonts w:ascii="Calibri" w:eastAsia="Times New Roman" w:hAnsi="Calibri" w:cs="Times New Roman"/>
          <w:color w:val="000000"/>
          <w:sz w:val="24"/>
          <w:szCs w:val="24"/>
        </w:rPr>
        <w:t xml:space="preserve"> Student Succeeds Act</w:t>
      </w:r>
      <w:r w:rsidR="00B13C85">
        <w:rPr>
          <w:rFonts w:ascii="Calibri" w:eastAsia="Times New Roman" w:hAnsi="Calibri" w:cs="Times New Roman"/>
          <w:color w:val="000000"/>
          <w:sz w:val="24"/>
          <w:szCs w:val="24"/>
        </w:rPr>
        <w:t xml:space="preserve"> (ESSA)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2872672E" w14:textId="77777777" w:rsidR="00405D59" w:rsidRDefault="00405D59" w:rsidP="0046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7ED0715" w14:textId="77777777" w:rsidR="003716B4" w:rsidRDefault="00EA15BE" w:rsidP="0046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On March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12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2020, in response to the spread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>ing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coronavirus 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and 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closing of 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many 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public 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>school systems for substantial period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of time,</w:t>
      </w:r>
      <w:r w:rsid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the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U</w:t>
      </w:r>
      <w:r w:rsid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.S. 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Department of Education released a </w:t>
      </w:r>
      <w:hyperlink r:id="rId9" w:history="1">
        <w:r w:rsidR="00221640">
          <w:rPr>
            <w:rStyle w:val="Hyperlink"/>
            <w:rFonts w:ascii="Calibri" w:eastAsia="Times New Roman" w:hAnsi="Calibri" w:cs="Times New Roman"/>
            <w:sz w:val="24"/>
            <w:szCs w:val="24"/>
          </w:rPr>
          <w:t>f</w:t>
        </w:r>
        <w:r w:rsidR="003716B4" w:rsidRPr="00732562">
          <w:rPr>
            <w:rStyle w:val="Hyperlink"/>
            <w:rFonts w:ascii="Calibri" w:eastAsia="Times New Roman" w:hAnsi="Calibri" w:cs="Times New Roman"/>
            <w:sz w:val="24"/>
            <w:szCs w:val="24"/>
          </w:rPr>
          <w:t xml:space="preserve">act </w:t>
        </w:r>
        <w:r w:rsidR="00221640">
          <w:rPr>
            <w:rStyle w:val="Hyperlink"/>
            <w:rFonts w:ascii="Calibri" w:eastAsia="Times New Roman" w:hAnsi="Calibri" w:cs="Times New Roman"/>
            <w:sz w:val="24"/>
            <w:szCs w:val="24"/>
          </w:rPr>
          <w:t>s</w:t>
        </w:r>
        <w:r w:rsidR="003716B4" w:rsidRPr="00732562">
          <w:rPr>
            <w:rStyle w:val="Hyperlink"/>
            <w:rFonts w:ascii="Calibri" w:eastAsia="Times New Roman" w:hAnsi="Calibri" w:cs="Times New Roman"/>
            <w:sz w:val="24"/>
            <w:szCs w:val="24"/>
          </w:rPr>
          <w:t>heet</w:t>
        </w:r>
      </w:hyperlink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that discussed the impact on </w:t>
      </w:r>
      <w:r w:rsidR="00732562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>tate assessment and accountability systems</w:t>
      </w:r>
      <w:r w:rsidR="005B0EEB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the department’s </w:t>
      </w:r>
      <w:r w:rsidR="003716B4" w:rsidRPr="00732562">
        <w:rPr>
          <w:rFonts w:ascii="Calibri" w:eastAsia="Times New Roman" w:hAnsi="Calibri" w:cs="Times New Roman"/>
          <w:color w:val="000000"/>
          <w:sz w:val="24"/>
          <w:szCs w:val="24"/>
        </w:rPr>
        <w:t>waiver authority under Section 8401 of the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A82C2E">
        <w:rPr>
          <w:rFonts w:ascii="Calibri" w:eastAsia="Times New Roman" w:hAnsi="Calibri" w:cs="Times New Roman"/>
          <w:color w:val="000000"/>
          <w:sz w:val="24"/>
          <w:szCs w:val="24"/>
        </w:rPr>
        <w:t>ESEA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</w:p>
    <w:p w14:paraId="6B359362" w14:textId="77777777" w:rsidR="00405D59" w:rsidRPr="00732562" w:rsidRDefault="00405D59" w:rsidP="0046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163FFE1" w14:textId="77777777" w:rsidR="003716B4" w:rsidRPr="00732562" w:rsidRDefault="003716B4" w:rsidP="0046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On March 20, 2020, 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in a </w:t>
      </w:r>
      <w:hyperlink r:id="rId10" w:history="1">
        <w:r w:rsidR="004329E6" w:rsidRPr="00732562">
          <w:rPr>
            <w:rStyle w:val="Hyperlink"/>
            <w:rFonts w:ascii="Calibri" w:eastAsia="Times New Roman" w:hAnsi="Calibri" w:cs="Times New Roman"/>
            <w:sz w:val="24"/>
            <w:szCs w:val="24"/>
          </w:rPr>
          <w:t>letter</w:t>
        </w:r>
      </w:hyperlink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to </w:t>
      </w:r>
      <w:r w:rsidR="00B9468C" w:rsidRPr="00732562">
        <w:rPr>
          <w:rFonts w:ascii="Calibri" w:eastAsia="Times New Roman" w:hAnsi="Calibri" w:cs="Times New Roman"/>
          <w:color w:val="000000"/>
          <w:sz w:val="24"/>
          <w:szCs w:val="24"/>
        </w:rPr>
        <w:t>chief state school officers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, the Secretary of Education 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 xml:space="preserve">gave all states 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flexibility 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 xml:space="preserve">with 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>regard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 xml:space="preserve"> to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ESEA 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>assessment and accountability requirements, as amended by the Every Student Succeeds Act (ESSA)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</w:t>
      </w:r>
      <w:r w:rsidR="00252B7F">
        <w:rPr>
          <w:rFonts w:ascii="Calibri" w:eastAsia="Times New Roman" w:hAnsi="Calibri" w:cs="Times New Roman"/>
          <w:color w:val="000000"/>
          <w:sz w:val="24"/>
          <w:szCs w:val="24"/>
        </w:rPr>
        <w:t xml:space="preserve">issued </w:t>
      </w:r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a streamlined waiver </w:t>
      </w:r>
      <w:hyperlink r:id="rId11" w:history="1">
        <w:r w:rsidR="004329E6" w:rsidRPr="00732562">
          <w:rPr>
            <w:rStyle w:val="Hyperlink"/>
            <w:rFonts w:ascii="Calibri" w:eastAsia="Times New Roman" w:hAnsi="Calibri" w:cs="Times New Roman"/>
            <w:sz w:val="24"/>
            <w:szCs w:val="24"/>
          </w:rPr>
          <w:t>template</w:t>
        </w:r>
      </w:hyperlink>
      <w:r w:rsidR="004329E6" w:rsidRPr="00732562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745C1627" w14:textId="77777777" w:rsidR="004329E6" w:rsidRPr="00732562" w:rsidRDefault="004329E6" w:rsidP="0046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0BCAD7F3" w14:textId="77777777" w:rsidR="006B4FDC" w:rsidRPr="00732562" w:rsidRDefault="006B4FDC" w:rsidP="0046213F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CARES Act </w:t>
      </w:r>
      <w:r w:rsidR="000F4196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provisions</w:t>
      </w:r>
    </w:p>
    <w:p w14:paraId="7FCB3501" w14:textId="77777777" w:rsidR="008C21B4" w:rsidRPr="00732562" w:rsidRDefault="004329E6" w:rsidP="004329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CARES Act reiterated and clarified the 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 xml:space="preserve">U.S. Department of Education’s authority to waive provisions of </w:t>
      </w:r>
      <w:r w:rsidR="00C22444">
        <w:rPr>
          <w:rFonts w:ascii="Calibri" w:eastAsia="Times New Roman" w:hAnsi="Calibri" w:cs="Times New Roman"/>
          <w:color w:val="000000"/>
          <w:sz w:val="24"/>
          <w:szCs w:val="24"/>
        </w:rPr>
        <w:t xml:space="preserve">ESSA 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 xml:space="preserve">in response to the COVID-19 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>national emergency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ecretary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 xml:space="preserve">of Education can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waive any statutory or regulatory requirement for a 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tate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educational agency, Indian tribe, or local educational agency </w:t>
      </w:r>
      <w:r w:rsidR="005B0EEB">
        <w:rPr>
          <w:rFonts w:ascii="Calibri" w:eastAsia="Times New Roman" w:hAnsi="Calibri" w:cs="Times New Roman"/>
          <w:color w:val="000000"/>
          <w:sz w:val="24"/>
          <w:szCs w:val="24"/>
        </w:rPr>
        <w:t xml:space="preserve">(“district”)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related to assessments,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accountability, and reporting requirements for assessments and accountability. States and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districts 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 xml:space="preserve">that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request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waivers must notify stakeholders 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 xml:space="preserve">by publishing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such requests</w:t>
      </w:r>
      <w:r w:rsidR="000F4196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providing an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opportunity for </w:t>
      </w:r>
      <w:r w:rsidR="000F4196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public </w:t>
      </w:r>
      <w:r w:rsidR="000F4196">
        <w:rPr>
          <w:rFonts w:ascii="Calibri" w:eastAsia="Times New Roman" w:hAnsi="Calibri" w:cs="Times New Roman"/>
          <w:color w:val="000000"/>
          <w:sz w:val="24"/>
          <w:szCs w:val="24"/>
        </w:rPr>
        <w:t xml:space="preserve">to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comment</w:t>
      </w:r>
      <w:r w:rsidR="000F4196">
        <w:rPr>
          <w:rFonts w:ascii="Calibri" w:eastAsia="Times New Roman" w:hAnsi="Calibri" w:cs="Times New Roman"/>
          <w:color w:val="000000"/>
          <w:sz w:val="24"/>
          <w:szCs w:val="24"/>
        </w:rPr>
        <w:t xml:space="preserve"> on them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31BD5C41" w14:textId="77777777" w:rsidR="008C21B4" w:rsidRPr="00732562" w:rsidRDefault="008C21B4" w:rsidP="004329E6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888EAE0" w14:textId="77777777" w:rsidR="008C21B4" w:rsidRPr="00732562" w:rsidRDefault="004329E6" w:rsidP="008C21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States can submit form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>request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 xml:space="preserve">ing waivers that 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 xml:space="preserve">allow them to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cancel statewide assessments for 2019-20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;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suspend annual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meaningful differentiation and identification of schools for comprehensive, targeted, and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additional targeted support and improvement based on data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lastRenderedPageBreak/>
        <w:t>from 2019-20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 xml:space="preserve">; suspend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report card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provisions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;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 xml:space="preserve">halt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implementation of interventions on the basis of failing to meet exit criteria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or</w:t>
      </w:r>
      <w:r w:rsidR="008C21B4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progress goals outlined in state plans.</w:t>
      </w:r>
    </w:p>
    <w:p w14:paraId="47A7753B" w14:textId="77777777" w:rsidR="008C21B4" w:rsidRPr="00732562" w:rsidRDefault="008C21B4" w:rsidP="00405D5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</w:rPr>
      </w:pPr>
    </w:p>
    <w:p w14:paraId="7E493AD0" w14:textId="77777777" w:rsidR="00FC21F9" w:rsidRPr="00B9468C" w:rsidRDefault="006E1267" w:rsidP="00405D5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What </w:t>
      </w:r>
      <w:r w:rsidR="00B9468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</w:t>
      </w:r>
      <w:r w:rsidR="00B9468C"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 waive-able</w:t>
      </w:r>
      <w:r w:rsidR="00405D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?</w:t>
      </w:r>
    </w:p>
    <w:p w14:paraId="5A622A5B" w14:textId="77777777" w:rsidR="006E1267" w:rsidRPr="00732562" w:rsidRDefault="006E1267" w:rsidP="00FD461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Statewide assessments required 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 xml:space="preserve">by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ESSA</w:t>
      </w:r>
    </w:p>
    <w:p w14:paraId="02FFDB60" w14:textId="77777777" w:rsidR="006E1267" w:rsidRPr="00732562" w:rsidRDefault="006E1267" w:rsidP="00FD461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Statewide accountability system</w:t>
      </w:r>
      <w:r w:rsidR="007D4FAE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s, including </w:t>
      </w:r>
      <w:r w:rsidR="002E513B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reporting </w:t>
      </w:r>
      <w:r w:rsidR="007D4FAE" w:rsidRPr="00732562">
        <w:rPr>
          <w:rFonts w:ascii="Calibri" w:eastAsia="Times New Roman" w:hAnsi="Calibri" w:cs="Times New Roman"/>
          <w:color w:val="000000"/>
          <w:sz w:val="24"/>
          <w:szCs w:val="24"/>
        </w:rPr>
        <w:t>o</w:t>
      </w:r>
      <w:r w:rsidR="006819E3">
        <w:rPr>
          <w:rFonts w:ascii="Calibri" w:eastAsia="Times New Roman" w:hAnsi="Calibri" w:cs="Times New Roman"/>
          <w:color w:val="000000"/>
          <w:sz w:val="24"/>
          <w:szCs w:val="24"/>
        </w:rPr>
        <w:t>n</w:t>
      </w:r>
      <w:r w:rsidR="007D4FAE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all students and student subgroups on statewide assessments and </w:t>
      </w:r>
      <w:r w:rsidR="0010580F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indicators (including </w:t>
      </w:r>
      <w:r w:rsidR="00B9468C" w:rsidRPr="00732562">
        <w:rPr>
          <w:rFonts w:ascii="Calibri" w:eastAsia="Times New Roman" w:hAnsi="Calibri" w:cs="Times New Roman"/>
          <w:color w:val="000000"/>
          <w:sz w:val="24"/>
          <w:szCs w:val="24"/>
        </w:rPr>
        <w:t>opportunity indicator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="0010580F" w:rsidRPr="00732562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14:paraId="2C8F9E16" w14:textId="77777777" w:rsidR="006E1267" w:rsidRPr="00732562" w:rsidRDefault="006E1267" w:rsidP="00FD461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Identification of schools for comprehensive, targeted, and additional targeted support and improvemen</w:t>
      </w:r>
      <w:r w:rsidR="007D4FAE" w:rsidRPr="00732562">
        <w:rPr>
          <w:rFonts w:ascii="Calibri" w:eastAsia="Times New Roman" w:hAnsi="Calibri" w:cs="Times New Roman"/>
          <w:color w:val="000000"/>
          <w:sz w:val="24"/>
          <w:szCs w:val="24"/>
        </w:rPr>
        <w:t>t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>,</w:t>
      </w:r>
      <w:r w:rsidR="007D4FAE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identification of consistently underperforming schools with struggling subgroups</w:t>
      </w:r>
    </w:p>
    <w:p w14:paraId="1CB06BEB" w14:textId="2217F37E" w:rsidR="006E1267" w:rsidRPr="00CB7676" w:rsidRDefault="006E1267" w:rsidP="00FD461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CB7676">
        <w:rPr>
          <w:rFonts w:ascii="Calibri" w:eastAsia="Times New Roman" w:hAnsi="Calibri" w:cs="Times New Roman"/>
          <w:color w:val="000000"/>
          <w:sz w:val="24"/>
          <w:szCs w:val="24"/>
        </w:rPr>
        <w:t xml:space="preserve">Resource allocation reviews and identification of resource inequities required for schools identified for additional targeted support and improvement and districts with high numbers of </w:t>
      </w:r>
      <w:r w:rsidR="00CB7676" w:rsidRPr="00CB7676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Comprehensive Support and Improvement (</w:t>
      </w:r>
      <w:r w:rsidR="00CB7676" w:rsidRPr="00CB7676">
        <w:rPr>
          <w:rFonts w:ascii="Calibri" w:hAnsi="Calibri" w:cs="Arial"/>
          <w:bCs/>
          <w:color w:val="222222"/>
          <w:sz w:val="24"/>
          <w:szCs w:val="24"/>
          <w:shd w:val="clear" w:color="auto" w:fill="FFFFFF"/>
        </w:rPr>
        <w:t>CSI</w:t>
      </w:r>
      <w:r w:rsidR="00CB7676" w:rsidRPr="00CB7676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) </w:t>
      </w:r>
      <w:r w:rsidR="00CB7676" w:rsidRPr="00CB7676">
        <w:rPr>
          <w:rFonts w:ascii="Calibri" w:hAnsi="Calibri" w:cs="Arial"/>
          <w:bCs/>
          <w:color w:val="222222"/>
          <w:sz w:val="24"/>
          <w:szCs w:val="24"/>
          <w:shd w:val="clear" w:color="auto" w:fill="FFFFFF"/>
        </w:rPr>
        <w:t>schools</w:t>
      </w:r>
      <w:r w:rsidR="00CB7676" w:rsidRPr="00CB7676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 </w:t>
      </w:r>
      <w:r w:rsidR="00CB7676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and </w:t>
      </w:r>
      <w:r w:rsidR="00CB7676" w:rsidRPr="00CB7676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Targeted Support and Improvement (</w:t>
      </w:r>
      <w:r w:rsidR="00CB7676" w:rsidRPr="00CB7676">
        <w:rPr>
          <w:rFonts w:ascii="Calibri" w:hAnsi="Calibri" w:cs="Arial"/>
          <w:bCs/>
          <w:color w:val="222222"/>
          <w:sz w:val="24"/>
          <w:szCs w:val="24"/>
          <w:shd w:val="clear" w:color="auto" w:fill="FFFFFF"/>
        </w:rPr>
        <w:t>TSI</w:t>
      </w:r>
      <w:r w:rsidR="00CB7676" w:rsidRPr="00CB7676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) </w:t>
      </w:r>
      <w:r w:rsidR="00CB7676" w:rsidRPr="00CB7676">
        <w:rPr>
          <w:rFonts w:ascii="Calibri" w:hAnsi="Calibri" w:cs="Arial"/>
          <w:bCs/>
          <w:color w:val="222222"/>
          <w:sz w:val="24"/>
          <w:szCs w:val="24"/>
          <w:shd w:val="clear" w:color="auto" w:fill="FFFFFF"/>
        </w:rPr>
        <w:t>schools</w:t>
      </w:r>
    </w:p>
    <w:p w14:paraId="3728CA26" w14:textId="77777777" w:rsidR="00937024" w:rsidRPr="00732562" w:rsidRDefault="00937024" w:rsidP="00FD4610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School report card </w:t>
      </w:r>
      <w:r w:rsidR="008568B9" w:rsidRPr="00732562">
        <w:rPr>
          <w:rFonts w:ascii="Calibri" w:eastAsia="Times New Roman" w:hAnsi="Calibri" w:cs="Times New Roman"/>
          <w:color w:val="000000"/>
          <w:sz w:val="24"/>
          <w:szCs w:val="24"/>
        </w:rPr>
        <w:t>data pertaining to English learner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>s’</w:t>
      </w:r>
      <w:r w:rsidR="008568B9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progress toward proficiency, 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o</w:t>
      </w:r>
      <w:r w:rsidR="008568B9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pportunity 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i</w:t>
      </w:r>
      <w:r w:rsidR="008568B9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ndicators, progress of all students and student subgroups toward meeting 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="008568B9" w:rsidRPr="00732562">
        <w:rPr>
          <w:rFonts w:ascii="Calibri" w:eastAsia="Times New Roman" w:hAnsi="Calibri" w:cs="Times New Roman"/>
          <w:color w:val="000000"/>
          <w:sz w:val="24"/>
          <w:szCs w:val="24"/>
        </w:rPr>
        <w:t>tate-identified long-term goals, students assessed and not assessed, and more</w:t>
      </w:r>
    </w:p>
    <w:p w14:paraId="32DFDAFD" w14:textId="77777777" w:rsidR="00876B46" w:rsidRPr="00732562" w:rsidRDefault="00876B46" w:rsidP="00B9468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50E0E4D1" w14:textId="77777777" w:rsidR="00876B46" w:rsidRPr="00732562" w:rsidRDefault="006E1267" w:rsidP="00405D59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What </w:t>
      </w:r>
      <w:r w:rsidR="00B9468C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i</w:t>
      </w:r>
      <w:r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s NOT </w:t>
      </w:r>
      <w:r w:rsidR="00B9468C"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waive-able</w:t>
      </w:r>
      <w:r w:rsidR="00405D59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?</w:t>
      </w:r>
    </w:p>
    <w:p w14:paraId="5EB6F5A6" w14:textId="77777777" w:rsidR="00C230EE" w:rsidRPr="00732562" w:rsidRDefault="00FE59A7" w:rsidP="00405D5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P</w:t>
      </w:r>
      <w:r w:rsidR="002E513B" w:rsidRPr="00732562">
        <w:rPr>
          <w:rFonts w:ascii="Calibri" w:eastAsia="Times New Roman" w:hAnsi="Calibri" w:cs="Times New Roman"/>
          <w:color w:val="000000"/>
          <w:sz w:val="24"/>
          <w:szCs w:val="24"/>
        </w:rPr>
        <w:t>ubli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 xml:space="preserve">shing and providing </w:t>
      </w:r>
      <w:r w:rsidR="00C230EE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an opportunity 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 xml:space="preserve">for public </w:t>
      </w:r>
      <w:r w:rsidR="00C230EE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comment on all 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="002E513B" w:rsidRPr="00732562">
        <w:rPr>
          <w:rFonts w:ascii="Calibri" w:eastAsia="Times New Roman" w:hAnsi="Calibri" w:cs="Times New Roman"/>
          <w:color w:val="000000"/>
          <w:sz w:val="24"/>
          <w:szCs w:val="24"/>
        </w:rPr>
        <w:t>tate-</w:t>
      </w:r>
      <w:r w:rsidR="00C230EE" w:rsidRPr="00732562">
        <w:rPr>
          <w:rFonts w:ascii="Calibri" w:eastAsia="Times New Roman" w:hAnsi="Calibri" w:cs="Times New Roman"/>
          <w:color w:val="000000"/>
          <w:sz w:val="24"/>
          <w:szCs w:val="24"/>
        </w:rPr>
        <w:t>requested waivers</w:t>
      </w:r>
    </w:p>
    <w:p w14:paraId="2BFAC556" w14:textId="77777777" w:rsidR="006E1267" w:rsidRPr="00732562" w:rsidRDefault="006E1267" w:rsidP="00405D5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Reporting o</w:t>
      </w:r>
      <w:r w:rsidR="00221640">
        <w:rPr>
          <w:rFonts w:ascii="Calibri" w:eastAsia="Times New Roman" w:hAnsi="Calibri" w:cs="Times New Roman"/>
          <w:color w:val="000000"/>
          <w:sz w:val="24"/>
          <w:szCs w:val="24"/>
        </w:rPr>
        <w:t xml:space="preserve">n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student discipline, educator qualifications, and other data required for Office of Civil Rights 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d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ata </w:t>
      </w:r>
      <w:r w:rsidR="00B9468C">
        <w:rPr>
          <w:rFonts w:ascii="Calibri" w:eastAsia="Times New Roman" w:hAnsi="Calibri" w:cs="Times New Roman"/>
          <w:color w:val="000000"/>
          <w:sz w:val="24"/>
          <w:szCs w:val="24"/>
        </w:rPr>
        <w:t>c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ollection</w:t>
      </w:r>
    </w:p>
    <w:p w14:paraId="4E713A86" w14:textId="77777777" w:rsidR="006E1267" w:rsidRPr="00732562" w:rsidRDefault="00937024" w:rsidP="00405D5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Graduation rate data for school report cards and identification of schools with low graduation rates</w:t>
      </w:r>
    </w:p>
    <w:p w14:paraId="68DF0F0D" w14:textId="77777777" w:rsidR="00937024" w:rsidRPr="00732562" w:rsidRDefault="00937024" w:rsidP="00405D5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Application of funds and resources originally designated for the benefit of a particular student subgroup </w:t>
      </w:r>
      <w:r w:rsidR="007D4FAE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(funds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must still be used </w:t>
      </w:r>
      <w:r w:rsidR="00FE59A7">
        <w:rPr>
          <w:rFonts w:ascii="Calibri" w:eastAsia="Times New Roman" w:hAnsi="Calibri" w:cs="Times New Roman"/>
          <w:color w:val="000000"/>
          <w:sz w:val="24"/>
          <w:szCs w:val="24"/>
        </w:rPr>
        <w:t xml:space="preserve">to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benefit of th</w:t>
      </w:r>
      <w:r w:rsidR="00FE59A7">
        <w:rPr>
          <w:rFonts w:ascii="Calibri" w:eastAsia="Times New Roman" w:hAnsi="Calibri" w:cs="Times New Roman"/>
          <w:color w:val="000000"/>
          <w:sz w:val="24"/>
          <w:szCs w:val="24"/>
        </w:rPr>
        <w:t xml:space="preserve">e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particular student group</w:t>
      </w:r>
      <w:r w:rsidR="007D4FAE" w:rsidRPr="00732562">
        <w:rPr>
          <w:rFonts w:ascii="Calibri" w:eastAsia="Times New Roman" w:hAnsi="Calibri" w:cs="Times New Roman"/>
          <w:color w:val="000000"/>
          <w:sz w:val="24"/>
          <w:szCs w:val="24"/>
        </w:rPr>
        <w:t>)</w:t>
      </w:r>
    </w:p>
    <w:p w14:paraId="505166E6" w14:textId="77777777" w:rsidR="00C230EE" w:rsidRPr="00732562" w:rsidRDefault="00C230EE" w:rsidP="00405D5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Assessments, </w:t>
      </w:r>
      <w:r w:rsidR="002E513B" w:rsidRPr="00732562">
        <w:rPr>
          <w:rFonts w:ascii="Calibri" w:eastAsia="Times New Roman" w:hAnsi="Calibri" w:cs="Times New Roman"/>
          <w:color w:val="000000"/>
          <w:sz w:val="24"/>
          <w:szCs w:val="24"/>
        </w:rPr>
        <w:t>accountability systems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, and comparison of district and school results to statewide assessment results in states </w:t>
      </w:r>
      <w:r w:rsidR="00DA43DF">
        <w:rPr>
          <w:rFonts w:ascii="Calibri" w:eastAsia="Times New Roman" w:hAnsi="Calibri" w:cs="Times New Roman"/>
          <w:color w:val="000000"/>
          <w:sz w:val="24"/>
          <w:szCs w:val="24"/>
        </w:rPr>
        <w:t xml:space="preserve">that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did NOT secure waiver</w:t>
      </w:r>
      <w:r w:rsidR="00FE59A7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 based on </w:t>
      </w:r>
      <w:r w:rsidR="0058545B">
        <w:rPr>
          <w:rFonts w:ascii="Calibri" w:eastAsia="Times New Roman" w:hAnsi="Calibri" w:cs="Times New Roman"/>
          <w:color w:val="000000"/>
          <w:sz w:val="24"/>
          <w:szCs w:val="24"/>
        </w:rPr>
        <w:t xml:space="preserve">their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inability to administer assessments or comply with </w:t>
      </w:r>
      <w:r w:rsidR="00FE59A7">
        <w:rPr>
          <w:rFonts w:ascii="Calibri" w:eastAsia="Times New Roman" w:hAnsi="Calibri" w:cs="Times New Roman"/>
          <w:color w:val="000000"/>
          <w:sz w:val="24"/>
          <w:szCs w:val="24"/>
        </w:rPr>
        <w:t xml:space="preserve">ESSA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re</w:t>
      </w:r>
      <w:r w:rsidR="00EA15BE"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porting requirements </w:t>
      </w:r>
    </w:p>
    <w:p w14:paraId="5DE56516" w14:textId="77777777" w:rsidR="00EA15BE" w:rsidRPr="00732562" w:rsidRDefault="00EA15BE" w:rsidP="00405D59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ind w:left="360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Requirements under the Individuals with Disabilities Education Act (IDEA)</w:t>
      </w:r>
    </w:p>
    <w:p w14:paraId="4463ED89" w14:textId="77777777" w:rsidR="008C21B4" w:rsidRPr="00732562" w:rsidRDefault="008C21B4" w:rsidP="00FD461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489C73DD" w14:textId="77777777" w:rsidR="008C21B4" w:rsidRPr="00732562" w:rsidRDefault="00405D59" w:rsidP="008C21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How can we e</w:t>
      </w:r>
      <w:r w:rsidR="00FD461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nsure e</w:t>
      </w:r>
      <w:r w:rsidR="008C21B4"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ducator</w:t>
      </w:r>
      <w:r w:rsidR="00DA43DF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s’</w:t>
      </w:r>
      <w:r w:rsidR="008C21B4"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DA43DF"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voice</w:t>
      </w:r>
      <w:r w:rsidR="00FD461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s</w:t>
      </w:r>
      <w:r w:rsidR="00DA43DF" w:rsidRPr="0073256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 </w:t>
      </w:r>
      <w:r w:rsidR="00FD4610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are heard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?</w:t>
      </w:r>
    </w:p>
    <w:p w14:paraId="3515CFFC" w14:textId="1143A41C" w:rsidR="008C21B4" w:rsidRDefault="008C21B4" w:rsidP="008C21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In the coming months, it will be more important than ever </w:t>
      </w:r>
      <w:r w:rsidR="00DA43DF">
        <w:rPr>
          <w:rFonts w:ascii="Calibri" w:eastAsia="Times New Roman" w:hAnsi="Calibri" w:cs="Times New Roman"/>
          <w:color w:val="000000"/>
          <w:sz w:val="24"/>
          <w:szCs w:val="24"/>
        </w:rPr>
        <w:t xml:space="preserve">to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coordinate</w:t>
      </w:r>
      <w:r w:rsidR="00DA43D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feedback on proposed waivers and adjustments to accountability systems. Emergencies that give rise to “temporary” changes can quickly become permanent</w:t>
      </w:r>
      <w:r w:rsidR="00DA43DF">
        <w:rPr>
          <w:rFonts w:ascii="Calibri" w:eastAsia="Times New Roman" w:hAnsi="Calibri" w:cs="Times New Roman"/>
          <w:color w:val="000000"/>
          <w:sz w:val="24"/>
          <w:szCs w:val="24"/>
        </w:rPr>
        <w:t xml:space="preserve">. We </w:t>
      </w:r>
      <w:r w:rsidR="00252B7F">
        <w:rPr>
          <w:rFonts w:ascii="Calibri" w:eastAsia="Times New Roman" w:hAnsi="Calibri" w:cs="Times New Roman"/>
          <w:color w:val="000000"/>
          <w:sz w:val="24"/>
          <w:szCs w:val="24"/>
        </w:rPr>
        <w:t xml:space="preserve">must </w:t>
      </w:r>
      <w:r w:rsidR="00DA43DF">
        <w:rPr>
          <w:rFonts w:ascii="Calibri" w:eastAsia="Times New Roman" w:hAnsi="Calibri" w:cs="Times New Roman"/>
          <w:color w:val="000000"/>
          <w:sz w:val="24"/>
          <w:szCs w:val="24"/>
        </w:rPr>
        <w:t xml:space="preserve">be vigilant to 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maintain </w:t>
      </w:r>
      <w:r w:rsidR="00252B7F">
        <w:rPr>
          <w:rFonts w:ascii="Calibri" w:eastAsia="Times New Roman" w:hAnsi="Calibri" w:cs="Times New Roman"/>
          <w:color w:val="000000"/>
          <w:sz w:val="24"/>
          <w:szCs w:val="24"/>
        </w:rPr>
        <w:t xml:space="preserve">the 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improvements brought by </w:t>
      </w:r>
      <w:r w:rsidR="00DA43DF">
        <w:rPr>
          <w:rFonts w:ascii="Calibri" w:eastAsia="Times New Roman" w:hAnsi="Calibri" w:cs="Times New Roman"/>
          <w:color w:val="000000"/>
          <w:sz w:val="24"/>
          <w:szCs w:val="24"/>
        </w:rPr>
        <w:t>ESSA, including o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pportunity </w:t>
      </w:r>
      <w:r w:rsidR="00DA43DF">
        <w:rPr>
          <w:rFonts w:ascii="Calibri" w:eastAsia="Times New Roman" w:hAnsi="Calibri" w:cs="Times New Roman"/>
          <w:color w:val="000000"/>
          <w:sz w:val="24"/>
          <w:szCs w:val="24"/>
        </w:rPr>
        <w:t>i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>ndicator</w:t>
      </w:r>
      <w:r w:rsidR="00DA43DF">
        <w:rPr>
          <w:rFonts w:ascii="Calibri" w:eastAsia="Times New Roman" w:hAnsi="Calibri" w:cs="Times New Roman"/>
          <w:color w:val="000000"/>
          <w:sz w:val="24"/>
          <w:szCs w:val="24"/>
        </w:rPr>
        <w:t>s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 and </w:t>
      </w:r>
      <w:r w:rsidRPr="00732562">
        <w:rPr>
          <w:rFonts w:ascii="Calibri" w:eastAsia="Times New Roman" w:hAnsi="Calibri" w:cs="Times New Roman"/>
          <w:color w:val="000000"/>
          <w:sz w:val="24"/>
          <w:szCs w:val="24"/>
        </w:rPr>
        <w:t xml:space="preserve">mandatory needs assessments, and </w:t>
      </w:r>
      <w:r w:rsidR="00FD4610">
        <w:rPr>
          <w:rFonts w:ascii="Calibri" w:eastAsia="Times New Roman" w:hAnsi="Calibri" w:cs="Times New Roman"/>
          <w:color w:val="000000"/>
          <w:sz w:val="24"/>
          <w:szCs w:val="24"/>
        </w:rPr>
        <w:t xml:space="preserve">to ensure that educators’ voices are heard. </w:t>
      </w:r>
    </w:p>
    <w:p w14:paraId="6AFB91D9" w14:textId="50171D34" w:rsidR="000E3C08" w:rsidRDefault="000E3C08" w:rsidP="008C21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p w14:paraId="1390A35C" w14:textId="62A5634B" w:rsidR="000E3C08" w:rsidRDefault="009F35B9" w:rsidP="008C21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</w:rPr>
        <w:t xml:space="preserve">For more information, contact Drew Kent, federal lobbyist, NEA Government Relations, at </w:t>
      </w:r>
      <w:hyperlink r:id="rId12" w:history="1">
        <w:r w:rsidRPr="001B30DE">
          <w:rPr>
            <w:rStyle w:val="Hyperlink"/>
            <w:rFonts w:ascii="Calibri" w:eastAsia="Times New Roman" w:hAnsi="Calibri" w:cs="Times New Roman"/>
            <w:sz w:val="24"/>
            <w:szCs w:val="24"/>
          </w:rPr>
          <w:t>dkent@nea.org</w:t>
        </w:r>
      </w:hyperlink>
      <w:r>
        <w:rPr>
          <w:rFonts w:ascii="Calibri" w:eastAsia="Times New Roman" w:hAnsi="Calibri" w:cs="Times New Roman"/>
          <w:color w:val="000000"/>
          <w:sz w:val="24"/>
          <w:szCs w:val="24"/>
        </w:rPr>
        <w:t>.</w:t>
      </w:r>
    </w:p>
    <w:p w14:paraId="4D4E06FA" w14:textId="77777777" w:rsidR="009F35B9" w:rsidRPr="009F35B9" w:rsidRDefault="009F35B9" w:rsidP="008C21B4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24"/>
          <w:szCs w:val="24"/>
        </w:rPr>
      </w:pPr>
    </w:p>
    <w:sectPr w:rsidR="009F35B9" w:rsidRPr="009F35B9" w:rsidSect="00405D59"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64F00" w14:textId="77777777" w:rsidR="00F67EE3" w:rsidRDefault="00F67EE3">
      <w:r>
        <w:separator/>
      </w:r>
    </w:p>
    <w:p w14:paraId="17619F6D" w14:textId="77777777" w:rsidR="00F67EE3" w:rsidRDefault="00F67EE3"/>
  </w:endnote>
  <w:endnote w:type="continuationSeparator" w:id="0">
    <w:p w14:paraId="52095170" w14:textId="77777777" w:rsidR="00F67EE3" w:rsidRDefault="00F67EE3">
      <w:r>
        <w:continuationSeparator/>
      </w:r>
    </w:p>
    <w:p w14:paraId="4A860FFA" w14:textId="77777777" w:rsidR="00F67EE3" w:rsidRDefault="00F67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C6149" w14:textId="77777777" w:rsidR="00405D59" w:rsidRPr="00405D59" w:rsidRDefault="00405D59">
    <w:pPr>
      <w:pStyle w:val="Footer"/>
      <w:rPr>
        <w:rFonts w:ascii="Calibri" w:hAnsi="Calibri"/>
        <w:sz w:val="20"/>
        <w:szCs w:val="20"/>
      </w:rPr>
    </w:pPr>
    <w:r w:rsidRPr="00405D59">
      <w:rPr>
        <w:rFonts w:ascii="Calibri" w:hAnsi="Calibri"/>
        <w:sz w:val="20"/>
        <w:szCs w:val="20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B063D" w14:textId="77777777" w:rsidR="00F67EE3" w:rsidRDefault="00F67EE3">
      <w:r>
        <w:separator/>
      </w:r>
    </w:p>
    <w:p w14:paraId="79FB125F" w14:textId="77777777" w:rsidR="00F67EE3" w:rsidRDefault="00F67EE3"/>
  </w:footnote>
  <w:footnote w:type="continuationSeparator" w:id="0">
    <w:p w14:paraId="0D74A245" w14:textId="77777777" w:rsidR="00F67EE3" w:rsidRDefault="00F67EE3">
      <w:r>
        <w:continuationSeparator/>
      </w:r>
    </w:p>
    <w:p w14:paraId="4E81F241" w14:textId="77777777" w:rsidR="00F67EE3" w:rsidRDefault="00F67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C74D1" w14:textId="77777777" w:rsidR="00252B7F" w:rsidRPr="00252B7F" w:rsidRDefault="00252B7F" w:rsidP="00252B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AC1D46"/>
    <w:multiLevelType w:val="hybridMultilevel"/>
    <w:tmpl w:val="35F8E708"/>
    <w:lvl w:ilvl="0" w:tplc="525E621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FCC38BB"/>
    <w:multiLevelType w:val="multilevel"/>
    <w:tmpl w:val="47E0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843B34"/>
    <w:multiLevelType w:val="multilevel"/>
    <w:tmpl w:val="BD7A6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askerville" w:eastAsiaTheme="minorHAnsi" w:hAnsi="Baskerville" w:cstheme="minorBidi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A1F10"/>
    <w:multiLevelType w:val="multilevel"/>
    <w:tmpl w:val="CECE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41B1D"/>
    <w:multiLevelType w:val="hybridMultilevel"/>
    <w:tmpl w:val="C4CEB104"/>
    <w:lvl w:ilvl="0" w:tplc="5922E9AE">
      <w:start w:val="1"/>
      <w:numFmt w:val="decimal"/>
      <w:lvlText w:val="%1."/>
      <w:lvlJc w:val="left"/>
      <w:pPr>
        <w:ind w:left="720" w:hanging="360"/>
      </w:pPr>
    </w:lvl>
    <w:lvl w:ilvl="1" w:tplc="47B68120">
      <w:start w:val="1"/>
      <w:numFmt w:val="lowerLetter"/>
      <w:lvlText w:val="%2."/>
      <w:lvlJc w:val="left"/>
      <w:pPr>
        <w:ind w:left="1440" w:hanging="360"/>
      </w:pPr>
    </w:lvl>
    <w:lvl w:ilvl="2" w:tplc="2B2465A4">
      <w:start w:val="1"/>
      <w:numFmt w:val="lowerRoman"/>
      <w:lvlText w:val="%3."/>
      <w:lvlJc w:val="right"/>
      <w:pPr>
        <w:ind w:left="2160" w:hanging="180"/>
      </w:pPr>
    </w:lvl>
    <w:lvl w:ilvl="3" w:tplc="CB38D358">
      <w:start w:val="1"/>
      <w:numFmt w:val="decimal"/>
      <w:lvlText w:val="%4."/>
      <w:lvlJc w:val="left"/>
      <w:pPr>
        <w:ind w:left="2880" w:hanging="360"/>
      </w:pPr>
    </w:lvl>
    <w:lvl w:ilvl="4" w:tplc="903E2D3A">
      <w:start w:val="1"/>
      <w:numFmt w:val="lowerLetter"/>
      <w:lvlText w:val="%5."/>
      <w:lvlJc w:val="left"/>
      <w:pPr>
        <w:ind w:left="3600" w:hanging="360"/>
      </w:pPr>
    </w:lvl>
    <w:lvl w:ilvl="5" w:tplc="888A86B8">
      <w:start w:val="1"/>
      <w:numFmt w:val="lowerRoman"/>
      <w:lvlText w:val="%6."/>
      <w:lvlJc w:val="right"/>
      <w:pPr>
        <w:ind w:left="4320" w:hanging="180"/>
      </w:pPr>
    </w:lvl>
    <w:lvl w:ilvl="6" w:tplc="C5C6AF86">
      <w:start w:val="1"/>
      <w:numFmt w:val="decimal"/>
      <w:lvlText w:val="%7."/>
      <w:lvlJc w:val="left"/>
      <w:pPr>
        <w:ind w:left="5040" w:hanging="360"/>
      </w:pPr>
    </w:lvl>
    <w:lvl w:ilvl="7" w:tplc="4424700C">
      <w:start w:val="1"/>
      <w:numFmt w:val="lowerLetter"/>
      <w:lvlText w:val="%8."/>
      <w:lvlJc w:val="left"/>
      <w:pPr>
        <w:ind w:left="5760" w:hanging="360"/>
      </w:pPr>
    </w:lvl>
    <w:lvl w:ilvl="8" w:tplc="FFC4C71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17921"/>
    <w:multiLevelType w:val="hybridMultilevel"/>
    <w:tmpl w:val="4DDC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793AC1"/>
    <w:multiLevelType w:val="hybridMultilevel"/>
    <w:tmpl w:val="7D8AA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  <w:num w:numId="15">
    <w:abstractNumId w:val="16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013A2B"/>
    <w:rsid w:val="00015FC2"/>
    <w:rsid w:val="000E3C08"/>
    <w:rsid w:val="000F4196"/>
    <w:rsid w:val="0010580F"/>
    <w:rsid w:val="001A7141"/>
    <w:rsid w:val="001B04B0"/>
    <w:rsid w:val="00221640"/>
    <w:rsid w:val="00233CAE"/>
    <w:rsid w:val="00252B7F"/>
    <w:rsid w:val="0029305F"/>
    <w:rsid w:val="002E513B"/>
    <w:rsid w:val="003716B4"/>
    <w:rsid w:val="003B3229"/>
    <w:rsid w:val="003C0114"/>
    <w:rsid w:val="003E15E1"/>
    <w:rsid w:val="00405D59"/>
    <w:rsid w:val="004329E6"/>
    <w:rsid w:val="00447041"/>
    <w:rsid w:val="00447558"/>
    <w:rsid w:val="00456CF2"/>
    <w:rsid w:val="0046213F"/>
    <w:rsid w:val="004D56F8"/>
    <w:rsid w:val="0058464E"/>
    <w:rsid w:val="0058545B"/>
    <w:rsid w:val="005B0EEB"/>
    <w:rsid w:val="005F50E9"/>
    <w:rsid w:val="0061438C"/>
    <w:rsid w:val="00674A56"/>
    <w:rsid w:val="006819E3"/>
    <w:rsid w:val="006B4FDC"/>
    <w:rsid w:val="006E1267"/>
    <w:rsid w:val="00732562"/>
    <w:rsid w:val="00733795"/>
    <w:rsid w:val="007962A0"/>
    <w:rsid w:val="007D4FAE"/>
    <w:rsid w:val="008568B9"/>
    <w:rsid w:val="00876B46"/>
    <w:rsid w:val="008C21B4"/>
    <w:rsid w:val="008C37C5"/>
    <w:rsid w:val="008D3646"/>
    <w:rsid w:val="00937024"/>
    <w:rsid w:val="009D2B19"/>
    <w:rsid w:val="009F35B9"/>
    <w:rsid w:val="00A0275E"/>
    <w:rsid w:val="00A800DC"/>
    <w:rsid w:val="00A82C2E"/>
    <w:rsid w:val="00AB14BF"/>
    <w:rsid w:val="00B02737"/>
    <w:rsid w:val="00B045AF"/>
    <w:rsid w:val="00B13C85"/>
    <w:rsid w:val="00B2634D"/>
    <w:rsid w:val="00B9468C"/>
    <w:rsid w:val="00BA7B3D"/>
    <w:rsid w:val="00C00CB4"/>
    <w:rsid w:val="00C22444"/>
    <w:rsid w:val="00C230EE"/>
    <w:rsid w:val="00C376D7"/>
    <w:rsid w:val="00C54D39"/>
    <w:rsid w:val="00C60400"/>
    <w:rsid w:val="00C922B4"/>
    <w:rsid w:val="00CB7676"/>
    <w:rsid w:val="00CC1A60"/>
    <w:rsid w:val="00D03AC1"/>
    <w:rsid w:val="00DA43DF"/>
    <w:rsid w:val="00DC274F"/>
    <w:rsid w:val="00DC2CF0"/>
    <w:rsid w:val="00EA15BE"/>
    <w:rsid w:val="00EE3E7C"/>
    <w:rsid w:val="00F0400D"/>
    <w:rsid w:val="00F67EE3"/>
    <w:rsid w:val="00FC21F9"/>
    <w:rsid w:val="00FD3113"/>
    <w:rsid w:val="00FD4610"/>
    <w:rsid w:val="00FD634E"/>
    <w:rsid w:val="00FE59A7"/>
    <w:rsid w:val="186546B9"/>
    <w:rsid w:val="20679478"/>
    <w:rsid w:val="3B4EDC1A"/>
    <w:rsid w:val="40E13B51"/>
    <w:rsid w:val="43A0E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7617A"/>
  <w15:chartTrackingRefBased/>
  <w15:docId w15:val="{A9003993-D91E-4A39-B744-9C31A40E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customStyle="1" w:styleId="BodyTextChar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customStyle="1" w:styleId="DateChar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C2CF0"/>
  </w:style>
  <w:style w:type="character" w:customStyle="1" w:styleId="SmartHyperlink1">
    <w:name w:val="Smart Hyperlink1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xxxmsonormal">
    <w:name w:val="x_x_xmsonormal"/>
    <w:basedOn w:val="Normal"/>
    <w:rsid w:val="00FD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xmsonormal">
    <w:name w:val="x_x_msonormal"/>
    <w:basedOn w:val="Normal"/>
    <w:rsid w:val="00FD6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8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0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1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9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6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22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0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26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4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87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kent@ne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ese.ed.gov/files/2020/03/template-assessmentwaiver-19-2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2.ed.gov/policy/gen/guid/secletter/2003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ese.ed.gov/files/2020/03/COVID-19-OESE-FINAL-3.12.2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Kent, Drew</dc:creator>
  <cp:keywords/>
  <dc:description/>
  <cp:lastModifiedBy>Phyzell Stewart</cp:lastModifiedBy>
  <cp:revision>2</cp:revision>
  <dcterms:created xsi:type="dcterms:W3CDTF">2020-04-08T18:41:00Z</dcterms:created>
  <dcterms:modified xsi:type="dcterms:W3CDTF">2020-04-08T18:41:00Z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