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B026" w14:textId="77777777" w:rsidR="00103206" w:rsidRPr="00EC7398" w:rsidRDefault="00EA4CC8" w:rsidP="007A07D7">
      <w:pPr>
        <w:spacing w:line="360" w:lineRule="auto"/>
        <w:jc w:val="center"/>
        <w:rPr>
          <w:sz w:val="24"/>
          <w:szCs w:val="24"/>
        </w:rPr>
      </w:pPr>
      <w:r w:rsidRPr="007B6950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EC90F64" wp14:editId="32606E1C">
            <wp:extent cx="1828800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 logo_horiz_RGB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951C2" w14:textId="77777777" w:rsidR="00E8196C" w:rsidRPr="00103206" w:rsidRDefault="00DF41E2" w:rsidP="00B236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2020-2021 </w:t>
      </w:r>
      <w:r w:rsidR="00AF4D58">
        <w:rPr>
          <w:b/>
          <w:sz w:val="24"/>
          <w:szCs w:val="24"/>
        </w:rPr>
        <w:t>SAFE AND JUST SCHOOL</w:t>
      </w:r>
      <w:r w:rsidR="00FC4022">
        <w:rPr>
          <w:b/>
          <w:sz w:val="24"/>
          <w:szCs w:val="24"/>
        </w:rPr>
        <w:t>S</w:t>
      </w:r>
      <w:r w:rsidR="00AF4D58">
        <w:rPr>
          <w:b/>
          <w:sz w:val="24"/>
          <w:szCs w:val="24"/>
        </w:rPr>
        <w:t xml:space="preserve"> PARTNERSHIP FUNDING GUIDELINES</w:t>
      </w:r>
    </w:p>
    <w:p w14:paraId="737262E7" w14:textId="77777777" w:rsidR="00BA3E49" w:rsidRPr="00EC7398" w:rsidRDefault="00B9002D" w:rsidP="00646B9F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BACKGROUND</w:t>
      </w:r>
      <w:r w:rsidR="00BA3E49" w:rsidRPr="00EC7398">
        <w:rPr>
          <w:b/>
          <w:sz w:val="24"/>
          <w:szCs w:val="24"/>
          <w:u w:val="single"/>
        </w:rPr>
        <w:t xml:space="preserve"> </w:t>
      </w:r>
    </w:p>
    <w:p w14:paraId="0649398C" w14:textId="575AA49F" w:rsidR="00B9002D" w:rsidRDefault="00C074FC" w:rsidP="00646B9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COVID-19 pandemic crisis exacerbated long-existing inequities within our education system, with the students and educators already marginalized suffering the biggest blow. </w:t>
      </w:r>
      <w:r w:rsidR="008D1154">
        <w:rPr>
          <w:rFonts w:cstheme="minorHAnsi"/>
          <w:sz w:val="24"/>
          <w:szCs w:val="24"/>
        </w:rPr>
        <w:t xml:space="preserve">In responding to this pandemic, </w:t>
      </w:r>
      <w:r w:rsidR="00B9002D">
        <w:rPr>
          <w:rFonts w:cstheme="minorHAnsi"/>
          <w:sz w:val="24"/>
          <w:szCs w:val="24"/>
        </w:rPr>
        <w:t xml:space="preserve">NEA is uniquely positioned to </w:t>
      </w:r>
      <w:r>
        <w:rPr>
          <w:rFonts w:cstheme="minorHAnsi"/>
          <w:sz w:val="24"/>
          <w:szCs w:val="24"/>
        </w:rPr>
        <w:t xml:space="preserve">leverage our collective power to </w:t>
      </w:r>
      <w:r w:rsidR="00B9002D">
        <w:rPr>
          <w:rFonts w:cstheme="minorHAnsi"/>
          <w:sz w:val="24"/>
          <w:szCs w:val="24"/>
        </w:rPr>
        <w:t>unapolo</w:t>
      </w:r>
      <w:r w:rsidR="00197DF5">
        <w:rPr>
          <w:rFonts w:cstheme="minorHAnsi"/>
          <w:sz w:val="24"/>
          <w:szCs w:val="24"/>
        </w:rPr>
        <w:t>getically advocate for just</w:t>
      </w:r>
      <w:r w:rsidR="00FA0E2D">
        <w:rPr>
          <w:rFonts w:cstheme="minorHAnsi"/>
          <w:sz w:val="24"/>
          <w:szCs w:val="24"/>
        </w:rPr>
        <w:t xml:space="preserve"> education system</w:t>
      </w:r>
      <w:r w:rsidR="00197DF5">
        <w:rPr>
          <w:rFonts w:cstheme="minorHAnsi"/>
          <w:sz w:val="24"/>
          <w:szCs w:val="24"/>
        </w:rPr>
        <w:t>s</w:t>
      </w:r>
      <w:r w:rsidR="00FA0E2D">
        <w:rPr>
          <w:rFonts w:cstheme="minorHAnsi"/>
          <w:sz w:val="24"/>
          <w:szCs w:val="24"/>
        </w:rPr>
        <w:t xml:space="preserve"> that support the health</w:t>
      </w:r>
      <w:r w:rsidR="008D1154">
        <w:rPr>
          <w:rFonts w:cstheme="minorHAnsi"/>
          <w:sz w:val="24"/>
          <w:szCs w:val="24"/>
        </w:rPr>
        <w:t>, safety,</w:t>
      </w:r>
      <w:r w:rsidR="00FA0E2D">
        <w:rPr>
          <w:rFonts w:cstheme="minorHAnsi"/>
          <w:sz w:val="24"/>
          <w:szCs w:val="24"/>
        </w:rPr>
        <w:t xml:space="preserve"> and </w:t>
      </w:r>
      <w:r w:rsidR="00B9002D">
        <w:rPr>
          <w:rFonts w:cstheme="minorHAnsi"/>
          <w:sz w:val="24"/>
          <w:szCs w:val="24"/>
        </w:rPr>
        <w:t xml:space="preserve">success of </w:t>
      </w:r>
      <w:r w:rsidR="00B9002D" w:rsidRPr="00CA320D">
        <w:rPr>
          <w:rFonts w:cstheme="minorHAnsi"/>
          <w:i/>
          <w:sz w:val="24"/>
          <w:szCs w:val="24"/>
        </w:rPr>
        <w:t>all</w:t>
      </w:r>
      <w:r w:rsidR="00B9002D">
        <w:rPr>
          <w:rFonts w:cstheme="minorHAnsi"/>
          <w:sz w:val="24"/>
          <w:szCs w:val="24"/>
        </w:rPr>
        <w:t xml:space="preserve"> students </w:t>
      </w:r>
      <w:r w:rsidR="00197DF5">
        <w:rPr>
          <w:rFonts w:cstheme="minorHAnsi"/>
          <w:sz w:val="24"/>
          <w:szCs w:val="24"/>
        </w:rPr>
        <w:t xml:space="preserve">and educators </w:t>
      </w:r>
      <w:r w:rsidR="00B9002D">
        <w:rPr>
          <w:rFonts w:cstheme="minorHAnsi"/>
          <w:sz w:val="24"/>
          <w:szCs w:val="24"/>
        </w:rPr>
        <w:t xml:space="preserve">– particularly students </w:t>
      </w:r>
      <w:r w:rsidR="00197DF5">
        <w:rPr>
          <w:rFonts w:cstheme="minorHAnsi"/>
          <w:sz w:val="24"/>
          <w:szCs w:val="24"/>
        </w:rPr>
        <w:t xml:space="preserve">and educators </w:t>
      </w:r>
      <w:r w:rsidR="00B9002D">
        <w:rPr>
          <w:rFonts w:cstheme="minorHAnsi"/>
          <w:sz w:val="24"/>
          <w:szCs w:val="24"/>
        </w:rPr>
        <w:t>of color</w:t>
      </w:r>
      <w:r w:rsidR="00197DF5">
        <w:rPr>
          <w:rFonts w:cstheme="minorHAnsi"/>
          <w:sz w:val="24"/>
          <w:szCs w:val="24"/>
        </w:rPr>
        <w:t xml:space="preserve">. </w:t>
      </w:r>
      <w:r w:rsidR="00B9002D">
        <w:rPr>
          <w:rFonts w:cstheme="minorHAnsi"/>
          <w:sz w:val="24"/>
          <w:szCs w:val="24"/>
        </w:rPr>
        <w:t xml:space="preserve">Our members, </w:t>
      </w:r>
      <w:r w:rsidR="004028B0">
        <w:rPr>
          <w:rFonts w:cstheme="minorHAnsi"/>
          <w:sz w:val="24"/>
          <w:szCs w:val="24"/>
        </w:rPr>
        <w:t xml:space="preserve">as well as </w:t>
      </w:r>
      <w:r w:rsidR="00C64AE4">
        <w:rPr>
          <w:rFonts w:cstheme="minorHAnsi"/>
          <w:sz w:val="24"/>
          <w:szCs w:val="24"/>
        </w:rPr>
        <w:t xml:space="preserve">the </w:t>
      </w:r>
      <w:r w:rsidR="004028B0">
        <w:rPr>
          <w:rFonts w:cstheme="minorHAnsi"/>
          <w:sz w:val="24"/>
          <w:szCs w:val="24"/>
        </w:rPr>
        <w:t>students, families</w:t>
      </w:r>
      <w:r w:rsidR="0000683D">
        <w:rPr>
          <w:rFonts w:cstheme="minorHAnsi"/>
          <w:sz w:val="24"/>
          <w:szCs w:val="24"/>
        </w:rPr>
        <w:t>,</w:t>
      </w:r>
      <w:r w:rsidR="004028B0">
        <w:rPr>
          <w:rFonts w:cstheme="minorHAnsi"/>
          <w:sz w:val="24"/>
          <w:szCs w:val="24"/>
        </w:rPr>
        <w:t xml:space="preserve"> and communities they serve are counting on NEA to </w:t>
      </w:r>
      <w:r w:rsidR="008D1154">
        <w:rPr>
          <w:rFonts w:cstheme="minorHAnsi"/>
          <w:sz w:val="24"/>
          <w:szCs w:val="24"/>
        </w:rPr>
        <w:t>lead in this moment</w:t>
      </w:r>
      <w:r w:rsidR="00B9002D">
        <w:rPr>
          <w:rFonts w:cstheme="minorHAnsi"/>
          <w:sz w:val="24"/>
          <w:szCs w:val="24"/>
        </w:rPr>
        <w:t>.</w:t>
      </w:r>
      <w:r w:rsidR="004028B0" w:rsidRPr="004028B0">
        <w:rPr>
          <w:rFonts w:cstheme="minorHAnsi"/>
          <w:sz w:val="24"/>
          <w:szCs w:val="24"/>
        </w:rPr>
        <w:t xml:space="preserve"> </w:t>
      </w:r>
      <w:r w:rsidR="004028B0">
        <w:rPr>
          <w:rFonts w:cstheme="minorHAnsi"/>
          <w:sz w:val="24"/>
          <w:szCs w:val="24"/>
        </w:rPr>
        <w:t xml:space="preserve">NEA commits to acknowledging its past </w:t>
      </w:r>
      <w:r w:rsidR="00C64AE4">
        <w:rPr>
          <w:rFonts w:cstheme="minorHAnsi"/>
          <w:sz w:val="24"/>
          <w:szCs w:val="24"/>
        </w:rPr>
        <w:t>role in contributing</w:t>
      </w:r>
      <w:r w:rsidR="004028B0">
        <w:rPr>
          <w:rFonts w:cstheme="minorHAnsi"/>
          <w:sz w:val="24"/>
          <w:szCs w:val="24"/>
        </w:rPr>
        <w:t xml:space="preserve"> to the perpetuation of an unjust, institutionally racist education system and make</w:t>
      </w:r>
      <w:r w:rsidR="00FA0E2D">
        <w:rPr>
          <w:rFonts w:cstheme="minorHAnsi"/>
          <w:sz w:val="24"/>
          <w:szCs w:val="24"/>
        </w:rPr>
        <w:t xml:space="preserve"> </w:t>
      </w:r>
      <w:r w:rsidR="001F66B8">
        <w:rPr>
          <w:rFonts w:cstheme="minorHAnsi"/>
          <w:sz w:val="24"/>
          <w:szCs w:val="24"/>
        </w:rPr>
        <w:t>defining and securing safe and just schools</w:t>
      </w:r>
      <w:r w:rsidR="001C307B">
        <w:rPr>
          <w:rFonts w:cstheme="minorHAnsi"/>
          <w:sz w:val="24"/>
          <w:szCs w:val="24"/>
        </w:rPr>
        <w:t xml:space="preserve"> </w:t>
      </w:r>
      <w:r w:rsidR="004028B0">
        <w:rPr>
          <w:rFonts w:cstheme="minorHAnsi"/>
          <w:sz w:val="24"/>
          <w:szCs w:val="24"/>
        </w:rPr>
        <w:t>an organizational priority. The Safe and Just School</w:t>
      </w:r>
      <w:r w:rsidR="00B2367F">
        <w:rPr>
          <w:rFonts w:cstheme="minorHAnsi"/>
          <w:sz w:val="24"/>
          <w:szCs w:val="24"/>
        </w:rPr>
        <w:t>s</w:t>
      </w:r>
      <w:r w:rsidR="004028B0">
        <w:rPr>
          <w:rFonts w:cstheme="minorHAnsi"/>
          <w:sz w:val="24"/>
          <w:szCs w:val="24"/>
        </w:rPr>
        <w:t xml:space="preserve"> Partnership Funding </w:t>
      </w:r>
      <w:r w:rsidR="00FA1D5D">
        <w:rPr>
          <w:rFonts w:cstheme="minorHAnsi"/>
          <w:sz w:val="24"/>
          <w:szCs w:val="24"/>
        </w:rPr>
        <w:t>P</w:t>
      </w:r>
      <w:r w:rsidR="00B2367F">
        <w:rPr>
          <w:rFonts w:cstheme="minorHAnsi"/>
          <w:sz w:val="24"/>
          <w:szCs w:val="24"/>
        </w:rPr>
        <w:t>rogram</w:t>
      </w:r>
      <w:r w:rsidR="004028B0">
        <w:rPr>
          <w:rFonts w:cstheme="minorHAnsi"/>
          <w:sz w:val="24"/>
          <w:szCs w:val="24"/>
        </w:rPr>
        <w:t xml:space="preserve"> </w:t>
      </w:r>
      <w:r w:rsidR="00E27854">
        <w:rPr>
          <w:rFonts w:cstheme="minorHAnsi"/>
          <w:sz w:val="24"/>
          <w:szCs w:val="24"/>
        </w:rPr>
        <w:t>serve</w:t>
      </w:r>
      <w:r w:rsidR="00B2367F">
        <w:rPr>
          <w:rFonts w:cstheme="minorHAnsi"/>
          <w:sz w:val="24"/>
          <w:szCs w:val="24"/>
        </w:rPr>
        <w:t>s</w:t>
      </w:r>
      <w:r w:rsidR="00E27854">
        <w:rPr>
          <w:rFonts w:cstheme="minorHAnsi"/>
          <w:sz w:val="24"/>
          <w:szCs w:val="24"/>
        </w:rPr>
        <w:t xml:space="preserve"> as </w:t>
      </w:r>
      <w:r w:rsidR="00E218F1">
        <w:rPr>
          <w:rFonts w:cstheme="minorHAnsi"/>
          <w:sz w:val="24"/>
          <w:szCs w:val="24"/>
        </w:rPr>
        <w:t>a</w:t>
      </w:r>
      <w:r w:rsidR="006E3546">
        <w:rPr>
          <w:rFonts w:cstheme="minorHAnsi"/>
          <w:sz w:val="24"/>
          <w:szCs w:val="24"/>
        </w:rPr>
        <w:t xml:space="preserve"> </w:t>
      </w:r>
      <w:r w:rsidR="00E27854">
        <w:rPr>
          <w:rFonts w:cstheme="minorHAnsi"/>
          <w:sz w:val="24"/>
          <w:szCs w:val="24"/>
        </w:rPr>
        <w:t xml:space="preserve">tangible </w:t>
      </w:r>
      <w:r w:rsidR="006E3546">
        <w:rPr>
          <w:rFonts w:cstheme="minorHAnsi"/>
          <w:sz w:val="24"/>
          <w:szCs w:val="24"/>
        </w:rPr>
        <w:t xml:space="preserve">example </w:t>
      </w:r>
      <w:r w:rsidR="00E27854">
        <w:rPr>
          <w:rFonts w:cstheme="minorHAnsi"/>
          <w:sz w:val="24"/>
          <w:szCs w:val="24"/>
        </w:rPr>
        <w:t>of that commitment</w:t>
      </w:r>
      <w:r w:rsidR="009C6702">
        <w:rPr>
          <w:rFonts w:cstheme="minorHAnsi"/>
          <w:sz w:val="24"/>
          <w:szCs w:val="24"/>
        </w:rPr>
        <w:t xml:space="preserve"> during the current pandemic</w:t>
      </w:r>
      <w:r w:rsidR="0038063F">
        <w:rPr>
          <w:rFonts w:cstheme="minorHAnsi"/>
          <w:sz w:val="24"/>
          <w:szCs w:val="24"/>
        </w:rPr>
        <w:t xml:space="preserve"> to organize to win for our students, our members</w:t>
      </w:r>
      <w:r w:rsidR="00F152C0">
        <w:rPr>
          <w:rFonts w:cstheme="minorHAnsi"/>
          <w:sz w:val="24"/>
          <w:szCs w:val="24"/>
        </w:rPr>
        <w:t>,</w:t>
      </w:r>
      <w:r w:rsidR="0038063F">
        <w:rPr>
          <w:rFonts w:cstheme="minorHAnsi"/>
          <w:sz w:val="24"/>
          <w:szCs w:val="24"/>
        </w:rPr>
        <w:t xml:space="preserve"> and our communities</w:t>
      </w:r>
      <w:r w:rsidR="00E27854">
        <w:rPr>
          <w:rFonts w:cstheme="minorHAnsi"/>
          <w:sz w:val="24"/>
          <w:szCs w:val="24"/>
        </w:rPr>
        <w:t>.</w:t>
      </w:r>
    </w:p>
    <w:p w14:paraId="42316CA0" w14:textId="1A80705B" w:rsidR="00B9002D" w:rsidRPr="0000683D" w:rsidRDefault="00B9002D" w:rsidP="00BB74E8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0683D">
        <w:rPr>
          <w:rFonts w:cstheme="minorHAnsi"/>
          <w:b/>
          <w:sz w:val="24"/>
          <w:szCs w:val="24"/>
          <w:u w:val="single"/>
        </w:rPr>
        <w:t>DESCRIPTION</w:t>
      </w:r>
      <w:r w:rsidR="00AE7572">
        <w:rPr>
          <w:rFonts w:cstheme="minorHAnsi"/>
          <w:b/>
          <w:sz w:val="24"/>
          <w:szCs w:val="24"/>
          <w:u w:val="single"/>
        </w:rPr>
        <w:t xml:space="preserve"> &amp; PROGRAM GOALS</w:t>
      </w:r>
    </w:p>
    <w:p w14:paraId="7D211BE0" w14:textId="6A0512B3" w:rsidR="00BA3E49" w:rsidRPr="004C1984" w:rsidRDefault="00BA3E49" w:rsidP="00646B9F">
      <w:pPr>
        <w:spacing w:line="360" w:lineRule="auto"/>
        <w:rPr>
          <w:rFonts w:cstheme="minorHAnsi"/>
          <w:sz w:val="24"/>
          <w:szCs w:val="24"/>
        </w:rPr>
      </w:pPr>
      <w:r w:rsidRPr="00E8196C">
        <w:rPr>
          <w:rFonts w:cstheme="minorHAnsi"/>
          <w:sz w:val="24"/>
          <w:szCs w:val="24"/>
        </w:rPr>
        <w:t xml:space="preserve">NEA </w:t>
      </w:r>
      <w:r w:rsidR="009C6702">
        <w:rPr>
          <w:rFonts w:cstheme="minorHAnsi"/>
          <w:sz w:val="24"/>
          <w:szCs w:val="24"/>
        </w:rPr>
        <w:t xml:space="preserve">State and </w:t>
      </w:r>
      <w:r w:rsidRPr="00E8196C">
        <w:rPr>
          <w:rFonts w:cstheme="minorHAnsi"/>
          <w:sz w:val="24"/>
          <w:szCs w:val="24"/>
        </w:rPr>
        <w:t>Local Affiliates</w:t>
      </w:r>
      <w:r w:rsidR="00180ACC">
        <w:rPr>
          <w:rFonts w:cstheme="minorHAnsi"/>
          <w:sz w:val="24"/>
          <w:szCs w:val="24"/>
        </w:rPr>
        <w:t>,</w:t>
      </w:r>
      <w:r w:rsidR="00820636">
        <w:rPr>
          <w:rFonts w:cstheme="minorHAnsi"/>
          <w:sz w:val="24"/>
          <w:szCs w:val="24"/>
        </w:rPr>
        <w:t xml:space="preserve"> </w:t>
      </w:r>
      <w:r w:rsidR="00ED1609">
        <w:rPr>
          <w:rFonts w:cstheme="minorHAnsi"/>
          <w:sz w:val="24"/>
          <w:szCs w:val="24"/>
        </w:rPr>
        <w:t>A</w:t>
      </w:r>
      <w:r w:rsidR="00820636">
        <w:rPr>
          <w:rFonts w:cstheme="minorHAnsi"/>
          <w:sz w:val="24"/>
          <w:szCs w:val="24"/>
        </w:rPr>
        <w:t>s</w:t>
      </w:r>
      <w:r w:rsidR="00ED1609">
        <w:rPr>
          <w:rFonts w:cstheme="minorHAnsi"/>
          <w:sz w:val="24"/>
          <w:szCs w:val="24"/>
        </w:rPr>
        <w:t xml:space="preserve">piring </w:t>
      </w:r>
      <w:proofErr w:type="spellStart"/>
      <w:r w:rsidR="00ED1609">
        <w:rPr>
          <w:rFonts w:cstheme="minorHAnsi"/>
          <w:sz w:val="24"/>
          <w:szCs w:val="24"/>
        </w:rPr>
        <w:t>Eductor</w:t>
      </w:r>
      <w:proofErr w:type="spellEnd"/>
      <w:r w:rsidR="00180ACC">
        <w:rPr>
          <w:rFonts w:cstheme="minorHAnsi"/>
          <w:sz w:val="24"/>
          <w:szCs w:val="24"/>
        </w:rPr>
        <w:t>,</w:t>
      </w:r>
      <w:r w:rsidR="00ED1609">
        <w:rPr>
          <w:rFonts w:cstheme="minorHAnsi"/>
          <w:sz w:val="24"/>
          <w:szCs w:val="24"/>
        </w:rPr>
        <w:t xml:space="preserve"> and Retired Affiliates </w:t>
      </w:r>
      <w:r w:rsidR="00180ACC">
        <w:rPr>
          <w:rFonts w:cstheme="minorHAnsi"/>
          <w:sz w:val="24"/>
          <w:szCs w:val="24"/>
        </w:rPr>
        <w:t xml:space="preserve">or </w:t>
      </w:r>
      <w:r w:rsidR="00BC1896">
        <w:rPr>
          <w:rFonts w:cstheme="minorHAnsi"/>
          <w:sz w:val="24"/>
          <w:szCs w:val="24"/>
        </w:rPr>
        <w:t>Chapters</w:t>
      </w:r>
      <w:r w:rsidR="00C64AE4">
        <w:rPr>
          <w:rFonts w:cstheme="minorHAnsi"/>
          <w:sz w:val="24"/>
          <w:szCs w:val="24"/>
        </w:rPr>
        <w:t>,</w:t>
      </w:r>
      <w:r w:rsidR="008D1C1B">
        <w:rPr>
          <w:rFonts w:cstheme="minorHAnsi"/>
          <w:sz w:val="24"/>
          <w:szCs w:val="24"/>
        </w:rPr>
        <w:t xml:space="preserve"> </w:t>
      </w:r>
      <w:r w:rsidRPr="00E8196C">
        <w:rPr>
          <w:rFonts w:cstheme="minorHAnsi"/>
          <w:sz w:val="24"/>
          <w:szCs w:val="24"/>
        </w:rPr>
        <w:t>either individually or</w:t>
      </w:r>
      <w:r w:rsidR="008D1C1B">
        <w:rPr>
          <w:rFonts w:cstheme="minorHAnsi"/>
          <w:sz w:val="24"/>
          <w:szCs w:val="24"/>
        </w:rPr>
        <w:t xml:space="preserve"> as groups, </w:t>
      </w:r>
      <w:r w:rsidRPr="00646B9F">
        <w:rPr>
          <w:rFonts w:cstheme="minorHAnsi"/>
          <w:sz w:val="24"/>
          <w:szCs w:val="24"/>
        </w:rPr>
        <w:t xml:space="preserve">may apply for NEA </w:t>
      </w:r>
      <w:r w:rsidR="00AF4D58">
        <w:rPr>
          <w:rFonts w:cstheme="minorHAnsi"/>
          <w:sz w:val="24"/>
          <w:szCs w:val="24"/>
        </w:rPr>
        <w:t>Safe and Just School</w:t>
      </w:r>
      <w:r w:rsidR="00BD511C">
        <w:rPr>
          <w:rFonts w:cstheme="minorHAnsi"/>
          <w:sz w:val="24"/>
          <w:szCs w:val="24"/>
        </w:rPr>
        <w:t>s</w:t>
      </w:r>
      <w:r w:rsidR="00AF4D58">
        <w:rPr>
          <w:rFonts w:cstheme="minorHAnsi"/>
          <w:sz w:val="24"/>
          <w:szCs w:val="24"/>
        </w:rPr>
        <w:t xml:space="preserve"> Partnership Funding (“SJSP Funding” or”)</w:t>
      </w:r>
      <w:r w:rsidR="006E3546">
        <w:rPr>
          <w:rFonts w:cstheme="minorHAnsi"/>
          <w:sz w:val="24"/>
          <w:szCs w:val="24"/>
        </w:rPr>
        <w:t xml:space="preserve">. </w:t>
      </w:r>
      <w:r w:rsidR="00AF6A90">
        <w:rPr>
          <w:rFonts w:cstheme="minorHAnsi"/>
          <w:sz w:val="24"/>
          <w:szCs w:val="24"/>
        </w:rPr>
        <w:t>Funding will be</w:t>
      </w:r>
      <w:r w:rsidR="00197DF5">
        <w:rPr>
          <w:rFonts w:cstheme="minorHAnsi"/>
          <w:sz w:val="24"/>
          <w:szCs w:val="24"/>
        </w:rPr>
        <w:t xml:space="preserve"> </w:t>
      </w:r>
      <w:r w:rsidR="0000683D">
        <w:rPr>
          <w:rFonts w:cstheme="minorHAnsi"/>
          <w:sz w:val="24"/>
          <w:szCs w:val="24"/>
        </w:rPr>
        <w:t xml:space="preserve">made </w:t>
      </w:r>
      <w:r w:rsidR="00AF6A90">
        <w:rPr>
          <w:rFonts w:cstheme="minorHAnsi"/>
          <w:sz w:val="24"/>
          <w:szCs w:val="24"/>
        </w:rPr>
        <w:t xml:space="preserve">available </w:t>
      </w:r>
      <w:r w:rsidR="00A9581D" w:rsidRPr="009C2C73">
        <w:rPr>
          <w:rFonts w:cstheme="minorHAnsi"/>
          <w:sz w:val="24"/>
          <w:szCs w:val="24"/>
        </w:rPr>
        <w:t>to Affiliate</w:t>
      </w:r>
      <w:r w:rsidR="00F65733" w:rsidRPr="009C2C73">
        <w:rPr>
          <w:rFonts w:cstheme="minorHAnsi"/>
          <w:sz w:val="24"/>
          <w:szCs w:val="24"/>
        </w:rPr>
        <w:t>s</w:t>
      </w:r>
      <w:r w:rsidR="00A9581D" w:rsidRPr="009C2C73">
        <w:rPr>
          <w:rFonts w:cstheme="minorHAnsi"/>
          <w:sz w:val="24"/>
          <w:szCs w:val="24"/>
        </w:rPr>
        <w:t xml:space="preserve"> </w:t>
      </w:r>
      <w:r w:rsidR="00BC1896">
        <w:rPr>
          <w:rFonts w:cstheme="minorHAnsi"/>
          <w:sz w:val="24"/>
          <w:szCs w:val="24"/>
        </w:rPr>
        <w:t xml:space="preserve">and Chapters </w:t>
      </w:r>
      <w:r w:rsidR="00A9581D" w:rsidRPr="009C2C73">
        <w:rPr>
          <w:rFonts w:cstheme="minorHAnsi"/>
          <w:sz w:val="24"/>
          <w:szCs w:val="24"/>
        </w:rPr>
        <w:t xml:space="preserve">who demonstrate </w:t>
      </w:r>
      <w:r w:rsidR="003B5CFA">
        <w:rPr>
          <w:rFonts w:cstheme="minorHAnsi"/>
          <w:sz w:val="24"/>
          <w:szCs w:val="24"/>
        </w:rPr>
        <w:t>commitment</w:t>
      </w:r>
      <w:r w:rsidR="007F564A">
        <w:rPr>
          <w:rFonts w:cstheme="minorHAnsi"/>
          <w:sz w:val="24"/>
          <w:szCs w:val="24"/>
        </w:rPr>
        <w:t xml:space="preserve"> </w:t>
      </w:r>
      <w:r w:rsidR="003B5CFA">
        <w:rPr>
          <w:rFonts w:cstheme="minorHAnsi"/>
          <w:sz w:val="24"/>
          <w:szCs w:val="24"/>
        </w:rPr>
        <w:t xml:space="preserve">and </w:t>
      </w:r>
      <w:r w:rsidR="00A9581D" w:rsidRPr="009C2C73">
        <w:rPr>
          <w:rFonts w:cstheme="minorHAnsi"/>
          <w:sz w:val="24"/>
          <w:szCs w:val="24"/>
        </w:rPr>
        <w:t>capacity</w:t>
      </w:r>
      <w:r w:rsidR="007F564A">
        <w:rPr>
          <w:rFonts w:cstheme="minorHAnsi"/>
          <w:sz w:val="24"/>
          <w:szCs w:val="24"/>
        </w:rPr>
        <w:t xml:space="preserve"> to</w:t>
      </w:r>
      <w:r w:rsidR="003B5CFA">
        <w:rPr>
          <w:rFonts w:cstheme="minorHAnsi"/>
          <w:sz w:val="24"/>
          <w:szCs w:val="24"/>
        </w:rPr>
        <w:t xml:space="preserve"> </w:t>
      </w:r>
      <w:r w:rsidR="007F564A">
        <w:rPr>
          <w:rFonts w:cstheme="minorHAnsi"/>
          <w:sz w:val="24"/>
          <w:szCs w:val="24"/>
        </w:rPr>
        <w:t xml:space="preserve">implement and explore </w:t>
      </w:r>
      <w:r w:rsidR="00A9581D" w:rsidRPr="009C2C73">
        <w:rPr>
          <w:rFonts w:cstheme="minorHAnsi"/>
          <w:sz w:val="24"/>
          <w:szCs w:val="24"/>
        </w:rPr>
        <w:t xml:space="preserve">initiatives and partnerships </w:t>
      </w:r>
      <w:r w:rsidR="00A9581D" w:rsidRPr="004C1984">
        <w:rPr>
          <w:rFonts w:cstheme="minorHAnsi"/>
          <w:sz w:val="24"/>
          <w:szCs w:val="24"/>
        </w:rPr>
        <w:t xml:space="preserve">to </w:t>
      </w:r>
      <w:r w:rsidR="003B5CFA">
        <w:rPr>
          <w:rFonts w:cstheme="minorHAnsi"/>
          <w:sz w:val="24"/>
          <w:szCs w:val="24"/>
        </w:rPr>
        <w:t>dismantle systemic inequities and unjust education practices that hinder healthy, safe</w:t>
      </w:r>
      <w:r w:rsidR="006E3546">
        <w:rPr>
          <w:rFonts w:cstheme="minorHAnsi"/>
          <w:sz w:val="24"/>
          <w:szCs w:val="24"/>
        </w:rPr>
        <w:t xml:space="preserve">, and </w:t>
      </w:r>
      <w:r w:rsidR="00F152C0">
        <w:rPr>
          <w:rFonts w:cstheme="minorHAnsi"/>
          <w:sz w:val="24"/>
          <w:szCs w:val="24"/>
        </w:rPr>
        <w:t xml:space="preserve">just </w:t>
      </w:r>
      <w:r w:rsidR="003B5CFA">
        <w:rPr>
          <w:rFonts w:cstheme="minorHAnsi"/>
          <w:sz w:val="24"/>
          <w:szCs w:val="24"/>
        </w:rPr>
        <w:t xml:space="preserve">learning and working environments for </w:t>
      </w:r>
      <w:r w:rsidR="003B5CFA" w:rsidRPr="00C75E34">
        <w:rPr>
          <w:rFonts w:cstheme="minorHAnsi"/>
          <w:i/>
          <w:sz w:val="24"/>
          <w:szCs w:val="24"/>
        </w:rPr>
        <w:t>each and every</w:t>
      </w:r>
      <w:r w:rsidR="003B5CFA">
        <w:rPr>
          <w:rFonts w:cstheme="minorHAnsi"/>
          <w:sz w:val="24"/>
          <w:szCs w:val="24"/>
        </w:rPr>
        <w:t xml:space="preserve"> student</w:t>
      </w:r>
      <w:r w:rsidR="008D1154">
        <w:rPr>
          <w:rFonts w:cstheme="minorHAnsi"/>
          <w:sz w:val="24"/>
          <w:szCs w:val="24"/>
        </w:rPr>
        <w:t xml:space="preserve">, </w:t>
      </w:r>
      <w:r w:rsidR="003B5CFA">
        <w:rPr>
          <w:rFonts w:cstheme="minorHAnsi"/>
          <w:sz w:val="24"/>
          <w:szCs w:val="24"/>
        </w:rPr>
        <w:t>educator</w:t>
      </w:r>
      <w:r w:rsidR="008D1154">
        <w:rPr>
          <w:rFonts w:cstheme="minorHAnsi"/>
          <w:sz w:val="24"/>
          <w:szCs w:val="24"/>
        </w:rPr>
        <w:t>, or public employee</w:t>
      </w:r>
      <w:r w:rsidR="008D1C1B">
        <w:rPr>
          <w:rFonts w:cstheme="minorHAnsi"/>
          <w:sz w:val="24"/>
          <w:szCs w:val="24"/>
        </w:rPr>
        <w:t xml:space="preserve"> in the</w:t>
      </w:r>
      <w:r w:rsidR="00C64AE4">
        <w:rPr>
          <w:rFonts w:cstheme="minorHAnsi"/>
          <w:sz w:val="24"/>
          <w:szCs w:val="24"/>
        </w:rPr>
        <w:t>ir</w:t>
      </w:r>
      <w:r w:rsidR="008D1C1B">
        <w:rPr>
          <w:rFonts w:cstheme="minorHAnsi"/>
          <w:sz w:val="24"/>
          <w:szCs w:val="24"/>
        </w:rPr>
        <w:t xml:space="preserve"> </w:t>
      </w:r>
      <w:r w:rsidR="00C64AE4">
        <w:rPr>
          <w:rFonts w:cstheme="minorHAnsi"/>
          <w:sz w:val="24"/>
          <w:szCs w:val="24"/>
        </w:rPr>
        <w:t xml:space="preserve">worksites </w:t>
      </w:r>
      <w:r w:rsidR="008D1C1B">
        <w:rPr>
          <w:rFonts w:cstheme="minorHAnsi"/>
          <w:sz w:val="24"/>
          <w:szCs w:val="24"/>
        </w:rPr>
        <w:t>and communities</w:t>
      </w:r>
      <w:r w:rsidR="00C64AE4">
        <w:rPr>
          <w:rFonts w:cstheme="minorHAnsi"/>
          <w:sz w:val="24"/>
          <w:szCs w:val="24"/>
        </w:rPr>
        <w:t xml:space="preserve">. </w:t>
      </w:r>
      <w:r w:rsidR="003B5CFA">
        <w:rPr>
          <w:rFonts w:cstheme="minorHAnsi"/>
          <w:sz w:val="24"/>
          <w:szCs w:val="24"/>
        </w:rPr>
        <w:t xml:space="preserve"> </w:t>
      </w:r>
    </w:p>
    <w:p w14:paraId="7A3753D6" w14:textId="3F2F5BE8" w:rsidR="00CD7C13" w:rsidRPr="00634322" w:rsidRDefault="00A9581D" w:rsidP="00646B9F">
      <w:pPr>
        <w:spacing w:line="360" w:lineRule="auto"/>
        <w:rPr>
          <w:rFonts w:cstheme="minorHAnsi"/>
          <w:sz w:val="24"/>
          <w:szCs w:val="24"/>
        </w:rPr>
      </w:pPr>
      <w:r w:rsidRPr="00634322">
        <w:rPr>
          <w:rFonts w:cstheme="minorHAnsi"/>
          <w:sz w:val="24"/>
          <w:szCs w:val="24"/>
        </w:rPr>
        <w:t xml:space="preserve">The goals </w:t>
      </w:r>
      <w:r w:rsidR="00A54BC4" w:rsidRPr="00634322">
        <w:rPr>
          <w:rFonts w:cstheme="minorHAnsi"/>
          <w:sz w:val="24"/>
          <w:szCs w:val="24"/>
        </w:rPr>
        <w:t xml:space="preserve">of </w:t>
      </w:r>
      <w:r w:rsidR="009C6702">
        <w:rPr>
          <w:rFonts w:cstheme="minorHAnsi"/>
          <w:sz w:val="24"/>
          <w:szCs w:val="24"/>
        </w:rPr>
        <w:t xml:space="preserve">2020-2021 </w:t>
      </w:r>
      <w:r w:rsidR="00391BD6">
        <w:rPr>
          <w:rFonts w:cstheme="minorHAnsi"/>
          <w:sz w:val="24"/>
          <w:szCs w:val="24"/>
        </w:rPr>
        <w:t>Safe and Just Schools Partnership</w:t>
      </w:r>
      <w:r w:rsidR="00391BD6" w:rsidRPr="00634322">
        <w:rPr>
          <w:rFonts w:cstheme="minorHAnsi"/>
          <w:sz w:val="24"/>
          <w:szCs w:val="24"/>
        </w:rPr>
        <w:t xml:space="preserve"> </w:t>
      </w:r>
      <w:r w:rsidR="00FF5D8F" w:rsidRPr="00634322">
        <w:rPr>
          <w:rFonts w:cstheme="minorHAnsi"/>
          <w:sz w:val="24"/>
          <w:szCs w:val="24"/>
        </w:rPr>
        <w:t>Funding</w:t>
      </w:r>
      <w:r w:rsidR="00A54BC4" w:rsidRPr="000218F0">
        <w:rPr>
          <w:rFonts w:cstheme="minorHAnsi"/>
          <w:sz w:val="24"/>
          <w:szCs w:val="24"/>
        </w:rPr>
        <w:t xml:space="preserve"> </w:t>
      </w:r>
      <w:r w:rsidRPr="00230B82">
        <w:rPr>
          <w:rFonts w:cstheme="minorHAnsi"/>
          <w:sz w:val="24"/>
          <w:szCs w:val="24"/>
        </w:rPr>
        <w:t>are:</w:t>
      </w:r>
    </w:p>
    <w:p w14:paraId="37983580" w14:textId="77777777" w:rsidR="001D42D1" w:rsidRPr="0038063F" w:rsidRDefault="001D42D1" w:rsidP="0038063F">
      <w:pPr>
        <w:pStyle w:val="ListParagraph"/>
        <w:numPr>
          <w:ilvl w:val="0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>Ensure that public schools and institutions of higher education will protect the health, safety and the civil rights of students and adults.</w:t>
      </w:r>
    </w:p>
    <w:p w14:paraId="6549339C" w14:textId="701B6B66" w:rsidR="001D42D1" w:rsidRPr="0038063F" w:rsidRDefault="001D42D1" w:rsidP="0038063F">
      <w:pPr>
        <w:pStyle w:val="ListParagraph"/>
        <w:numPr>
          <w:ilvl w:val="0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>Ensure that all plans for the 2020-2021 school year address racial and social justice</w:t>
      </w:r>
      <w:r w:rsidR="00E9203C">
        <w:rPr>
          <w:bCs/>
          <w:sz w:val="24"/>
          <w:szCs w:val="24"/>
        </w:rPr>
        <w:t>, with a priority on the needs of native people, people of color, and the LGBTQ</w:t>
      </w:r>
      <w:r w:rsidR="006C64FE">
        <w:rPr>
          <w:bCs/>
          <w:sz w:val="24"/>
          <w:szCs w:val="24"/>
        </w:rPr>
        <w:t>+</w:t>
      </w:r>
      <w:r w:rsidR="00E9203C">
        <w:rPr>
          <w:bCs/>
          <w:sz w:val="24"/>
          <w:szCs w:val="24"/>
        </w:rPr>
        <w:t xml:space="preserve"> community. </w:t>
      </w:r>
    </w:p>
    <w:p w14:paraId="444DC5C8" w14:textId="48947D07" w:rsidR="001D42D1" w:rsidRPr="0038063F" w:rsidRDefault="001D42D1" w:rsidP="0038063F">
      <w:pPr>
        <w:pStyle w:val="ListParagraph"/>
        <w:numPr>
          <w:ilvl w:val="0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lastRenderedPageBreak/>
        <w:t xml:space="preserve">Adapt high quality, equitable instructional practices and </w:t>
      </w:r>
      <w:r w:rsidR="00155AB1">
        <w:rPr>
          <w:bCs/>
          <w:sz w:val="24"/>
          <w:szCs w:val="24"/>
        </w:rPr>
        <w:t xml:space="preserve">develop </w:t>
      </w:r>
      <w:r w:rsidRPr="0038063F">
        <w:rPr>
          <w:bCs/>
          <w:sz w:val="24"/>
          <w:szCs w:val="24"/>
        </w:rPr>
        <w:t>tools for virtual, hybrid, and in-person learning contexts with an emphasis on:</w:t>
      </w:r>
    </w:p>
    <w:p w14:paraId="76A968E3" w14:textId="77777777" w:rsidR="001D42D1" w:rsidRPr="0038063F" w:rsidRDefault="001D42D1" w:rsidP="0038063F">
      <w:pPr>
        <w:pStyle w:val="ListParagraph"/>
        <w:numPr>
          <w:ilvl w:val="1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>advancing racial justice;</w:t>
      </w:r>
    </w:p>
    <w:p w14:paraId="5C29C77F" w14:textId="77777777" w:rsidR="001D42D1" w:rsidRPr="0038063F" w:rsidRDefault="001D42D1" w:rsidP="0038063F">
      <w:pPr>
        <w:pStyle w:val="ListParagraph"/>
        <w:numPr>
          <w:ilvl w:val="1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>eradicating white supremacy culture; and</w:t>
      </w:r>
    </w:p>
    <w:p w14:paraId="49D736DE" w14:textId="77777777" w:rsidR="001D42D1" w:rsidRPr="0038063F" w:rsidRDefault="001D42D1" w:rsidP="0038063F">
      <w:pPr>
        <w:pStyle w:val="ListParagraph"/>
        <w:numPr>
          <w:ilvl w:val="1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>creating a culture of professional excellence.</w:t>
      </w:r>
    </w:p>
    <w:p w14:paraId="6060B36B" w14:textId="393D6E85" w:rsidR="001D42D1" w:rsidRPr="0038063F" w:rsidRDefault="001D42D1" w:rsidP="0038063F">
      <w:pPr>
        <w:pStyle w:val="ListParagraph"/>
        <w:numPr>
          <w:ilvl w:val="0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 xml:space="preserve">Strengthen the connection between members and the NEA by developing sustainable member listening and communications </w:t>
      </w:r>
      <w:r w:rsidR="00AF6A90">
        <w:rPr>
          <w:bCs/>
          <w:sz w:val="24"/>
          <w:szCs w:val="24"/>
        </w:rPr>
        <w:t xml:space="preserve">processes </w:t>
      </w:r>
      <w:r w:rsidRPr="0038063F">
        <w:rPr>
          <w:bCs/>
          <w:sz w:val="24"/>
          <w:szCs w:val="24"/>
        </w:rPr>
        <w:t>that:</w:t>
      </w:r>
    </w:p>
    <w:p w14:paraId="78D008BA" w14:textId="77777777" w:rsidR="001D42D1" w:rsidRPr="0038063F" w:rsidRDefault="001D42D1" w:rsidP="0038063F">
      <w:pPr>
        <w:pStyle w:val="ListParagraph"/>
        <w:numPr>
          <w:ilvl w:val="1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>identify educators' needs; and</w:t>
      </w:r>
    </w:p>
    <w:p w14:paraId="5FEBC73F" w14:textId="77777777" w:rsidR="001D42D1" w:rsidRPr="0038063F" w:rsidRDefault="001D42D1" w:rsidP="0038063F">
      <w:pPr>
        <w:pStyle w:val="ListParagraph"/>
        <w:numPr>
          <w:ilvl w:val="1"/>
          <w:numId w:val="24"/>
        </w:numPr>
        <w:spacing w:line="360" w:lineRule="auto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>demonstrate that NEA is advocating for their health and safety, their professional practice, and the well-being of all students.</w:t>
      </w:r>
    </w:p>
    <w:p w14:paraId="7347A981" w14:textId="208AF5BD" w:rsidR="001D42D1" w:rsidRPr="0038063F" w:rsidRDefault="00F0597B" w:rsidP="0038063F">
      <w:pPr>
        <w:pStyle w:val="ListParagraph"/>
        <w:numPr>
          <w:ilvl w:val="0"/>
          <w:numId w:val="2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Uti</w:t>
      </w:r>
      <w:r w:rsidR="00CC513F">
        <w:rPr>
          <w:bCs/>
          <w:sz w:val="24"/>
          <w:szCs w:val="24"/>
        </w:rPr>
        <w:t xml:space="preserve">lize </w:t>
      </w:r>
      <w:r w:rsidR="001D42D1" w:rsidRPr="0038063F">
        <w:rPr>
          <w:bCs/>
          <w:sz w:val="24"/>
          <w:szCs w:val="24"/>
        </w:rPr>
        <w:t>intentional and innovative experiments related to membership recruitment, engagement, and retention throughout the re-opening phases.</w:t>
      </w:r>
    </w:p>
    <w:p w14:paraId="1F3EB01A" w14:textId="66E2DC30" w:rsidR="001D42D1" w:rsidRPr="0038063F" w:rsidRDefault="001D42D1" w:rsidP="0038063F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>Test and implement new ways to recruit and engage community allies, with specific focus on parents</w:t>
      </w:r>
      <w:r w:rsidR="00223140">
        <w:rPr>
          <w:bCs/>
          <w:sz w:val="24"/>
          <w:szCs w:val="24"/>
        </w:rPr>
        <w:t xml:space="preserve"> and families</w:t>
      </w:r>
      <w:r w:rsidRPr="0038063F">
        <w:rPr>
          <w:bCs/>
          <w:sz w:val="24"/>
          <w:szCs w:val="24"/>
        </w:rPr>
        <w:t>.</w:t>
      </w:r>
      <w:r w:rsidR="001C307B">
        <w:rPr>
          <w:bCs/>
          <w:sz w:val="24"/>
          <w:szCs w:val="24"/>
        </w:rPr>
        <w:t xml:space="preserve"> </w:t>
      </w:r>
    </w:p>
    <w:p w14:paraId="42F6A133" w14:textId="638B3967" w:rsidR="009C6702" w:rsidRDefault="00EC7398" w:rsidP="00D30A10">
      <w:pPr>
        <w:pStyle w:val="ListParagraph"/>
        <w:spacing w:line="360" w:lineRule="auto"/>
        <w:ind w:left="0"/>
        <w:contextualSpacing w:val="0"/>
        <w:rPr>
          <w:bCs/>
          <w:sz w:val="24"/>
          <w:szCs w:val="24"/>
        </w:rPr>
      </w:pPr>
      <w:r w:rsidRPr="0038063F">
        <w:rPr>
          <w:bCs/>
          <w:sz w:val="24"/>
          <w:szCs w:val="24"/>
        </w:rPr>
        <w:t xml:space="preserve">It is the intention of </w:t>
      </w:r>
      <w:r w:rsidR="00961E5A">
        <w:rPr>
          <w:bCs/>
          <w:sz w:val="24"/>
          <w:szCs w:val="24"/>
        </w:rPr>
        <w:t>Safe and Just Schools Partnership</w:t>
      </w:r>
      <w:r w:rsidR="00961E5A" w:rsidRPr="0038063F">
        <w:rPr>
          <w:bCs/>
          <w:sz w:val="24"/>
          <w:szCs w:val="24"/>
        </w:rPr>
        <w:t xml:space="preserve"> </w:t>
      </w:r>
      <w:r w:rsidR="00AE2065" w:rsidRPr="0038063F">
        <w:rPr>
          <w:bCs/>
          <w:sz w:val="24"/>
          <w:szCs w:val="24"/>
        </w:rPr>
        <w:t>Funding</w:t>
      </w:r>
      <w:r w:rsidR="00C43C1D" w:rsidRPr="0038063F">
        <w:rPr>
          <w:bCs/>
          <w:sz w:val="24"/>
          <w:szCs w:val="24"/>
        </w:rPr>
        <w:t xml:space="preserve"> </w:t>
      </w:r>
      <w:r w:rsidRPr="0038063F">
        <w:rPr>
          <w:bCs/>
          <w:sz w:val="24"/>
          <w:szCs w:val="24"/>
        </w:rPr>
        <w:t xml:space="preserve">to supplement and seed innovation </w:t>
      </w:r>
      <w:r w:rsidR="00CF6BFF" w:rsidRPr="0038063F">
        <w:rPr>
          <w:bCs/>
          <w:sz w:val="24"/>
          <w:szCs w:val="24"/>
        </w:rPr>
        <w:t xml:space="preserve">and action </w:t>
      </w:r>
      <w:r w:rsidRPr="0038063F">
        <w:rPr>
          <w:bCs/>
          <w:sz w:val="24"/>
          <w:szCs w:val="24"/>
        </w:rPr>
        <w:t>within Affiliate</w:t>
      </w:r>
      <w:r w:rsidR="00783EF4" w:rsidRPr="0038063F">
        <w:rPr>
          <w:bCs/>
          <w:sz w:val="24"/>
          <w:szCs w:val="24"/>
        </w:rPr>
        <w:t>s</w:t>
      </w:r>
      <w:r w:rsidR="00BC1896">
        <w:rPr>
          <w:bCs/>
          <w:sz w:val="24"/>
          <w:szCs w:val="24"/>
        </w:rPr>
        <w:t xml:space="preserve"> and Chapters</w:t>
      </w:r>
      <w:r w:rsidR="00783EF4" w:rsidRPr="0038063F">
        <w:rPr>
          <w:bCs/>
          <w:sz w:val="24"/>
          <w:szCs w:val="24"/>
        </w:rPr>
        <w:t xml:space="preserve">, </w:t>
      </w:r>
      <w:r w:rsidR="00C43C1D" w:rsidRPr="0038063F">
        <w:rPr>
          <w:bCs/>
          <w:sz w:val="24"/>
          <w:szCs w:val="24"/>
        </w:rPr>
        <w:t>schools</w:t>
      </w:r>
      <w:r w:rsidR="00783EF4" w:rsidRPr="0038063F">
        <w:rPr>
          <w:bCs/>
          <w:sz w:val="24"/>
          <w:szCs w:val="24"/>
        </w:rPr>
        <w:t>, and education worksites</w:t>
      </w:r>
      <w:r w:rsidR="00155AB1">
        <w:rPr>
          <w:bCs/>
          <w:sz w:val="24"/>
          <w:szCs w:val="24"/>
        </w:rPr>
        <w:t xml:space="preserve"> to build capacity</w:t>
      </w:r>
      <w:r w:rsidRPr="0038063F">
        <w:rPr>
          <w:bCs/>
          <w:sz w:val="24"/>
          <w:szCs w:val="24"/>
        </w:rPr>
        <w:t xml:space="preserve">. Affiliates </w:t>
      </w:r>
      <w:r w:rsidR="00BC1896">
        <w:rPr>
          <w:bCs/>
          <w:sz w:val="24"/>
          <w:szCs w:val="24"/>
        </w:rPr>
        <w:t xml:space="preserve">and Chapters </w:t>
      </w:r>
      <w:r w:rsidRPr="0038063F">
        <w:rPr>
          <w:bCs/>
          <w:sz w:val="24"/>
          <w:szCs w:val="24"/>
        </w:rPr>
        <w:t xml:space="preserve">are </w:t>
      </w:r>
      <w:r w:rsidR="00322A7C" w:rsidRPr="0038063F">
        <w:rPr>
          <w:bCs/>
          <w:sz w:val="24"/>
          <w:szCs w:val="24"/>
        </w:rPr>
        <w:t xml:space="preserve">encouraged </w:t>
      </w:r>
      <w:r w:rsidRPr="0038063F">
        <w:rPr>
          <w:bCs/>
          <w:sz w:val="24"/>
          <w:szCs w:val="24"/>
        </w:rPr>
        <w:t xml:space="preserve">to dedicate human, in-kind, and financial resources to sustain successful funded programs and activities beyond the term of the </w:t>
      </w:r>
      <w:r w:rsidR="00BD511C" w:rsidRPr="0038063F">
        <w:rPr>
          <w:bCs/>
          <w:sz w:val="24"/>
          <w:szCs w:val="24"/>
        </w:rPr>
        <w:t>funding period</w:t>
      </w:r>
      <w:r w:rsidR="00CF6BFF" w:rsidRPr="0038063F">
        <w:rPr>
          <w:bCs/>
          <w:sz w:val="24"/>
          <w:szCs w:val="24"/>
        </w:rPr>
        <w:t xml:space="preserve"> whenever possible</w:t>
      </w:r>
      <w:r w:rsidR="00C43C1D" w:rsidRPr="0038063F">
        <w:rPr>
          <w:bCs/>
          <w:sz w:val="24"/>
          <w:szCs w:val="24"/>
        </w:rPr>
        <w:t xml:space="preserve">. </w:t>
      </w:r>
    </w:p>
    <w:p w14:paraId="0A92ED82" w14:textId="57B1CC3D" w:rsidR="000F056A" w:rsidRPr="003C56D8" w:rsidRDefault="00EC7398" w:rsidP="00D30A10">
      <w:pPr>
        <w:pStyle w:val="ListParagraph"/>
        <w:spacing w:line="360" w:lineRule="auto"/>
        <w:ind w:left="0"/>
        <w:contextualSpacing w:val="0"/>
        <w:jc w:val="center"/>
        <w:rPr>
          <w:rFonts w:cstheme="minorHAnsi"/>
          <w:b/>
          <w:sz w:val="24"/>
          <w:szCs w:val="24"/>
          <w:u w:val="single"/>
        </w:rPr>
      </w:pPr>
      <w:r w:rsidRPr="0038063F">
        <w:rPr>
          <w:bCs/>
          <w:sz w:val="24"/>
          <w:szCs w:val="24"/>
        </w:rPr>
        <w:t xml:space="preserve"> </w:t>
      </w:r>
      <w:r w:rsidR="00402800" w:rsidRPr="003C56D8">
        <w:rPr>
          <w:rFonts w:cstheme="minorHAnsi"/>
          <w:b/>
          <w:sz w:val="24"/>
          <w:szCs w:val="24"/>
          <w:u w:val="single"/>
        </w:rPr>
        <w:t>FUNDING RESTRICTIONS</w:t>
      </w:r>
    </w:p>
    <w:p w14:paraId="41AE4EBF" w14:textId="77777777" w:rsidR="006668EE" w:rsidRPr="00C52090" w:rsidRDefault="00B52362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Awards</w:t>
      </w:r>
      <w:r w:rsidRPr="00C52090">
        <w:rPr>
          <w:rFonts w:cstheme="minorHAnsi"/>
          <w:sz w:val="24"/>
          <w:szCs w:val="24"/>
        </w:rPr>
        <w:t xml:space="preserve"> </w:t>
      </w:r>
      <w:r w:rsidR="006668EE" w:rsidRPr="00C52090">
        <w:rPr>
          <w:rFonts w:cstheme="minorHAnsi"/>
          <w:sz w:val="24"/>
          <w:szCs w:val="24"/>
        </w:rPr>
        <w:t>may not be used to fund the following:</w:t>
      </w:r>
    </w:p>
    <w:p w14:paraId="570FC9E8" w14:textId="258FFC1A" w:rsidR="006668EE" w:rsidRDefault="006668E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F19A9">
        <w:rPr>
          <w:rFonts w:cstheme="minorHAnsi"/>
          <w:sz w:val="24"/>
          <w:szCs w:val="24"/>
        </w:rPr>
        <w:t xml:space="preserve">Indirect </w:t>
      </w:r>
      <w:r w:rsidR="00B52362">
        <w:rPr>
          <w:rFonts w:cstheme="minorHAnsi"/>
          <w:sz w:val="24"/>
          <w:szCs w:val="24"/>
        </w:rPr>
        <w:t xml:space="preserve">or overhead </w:t>
      </w:r>
      <w:r w:rsidRPr="006F19A9">
        <w:rPr>
          <w:rFonts w:cstheme="minorHAnsi"/>
          <w:sz w:val="24"/>
          <w:szCs w:val="24"/>
        </w:rPr>
        <w:t xml:space="preserve">expenses </w:t>
      </w:r>
    </w:p>
    <w:p w14:paraId="5589108D" w14:textId="77777777" w:rsidR="00961E5A" w:rsidRDefault="00DC7D3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Large equipment purchases </w:t>
      </w:r>
    </w:p>
    <w:p w14:paraId="6F4A1803" w14:textId="4DE01C49" w:rsidR="00DC7D3D" w:rsidRPr="006F19A9" w:rsidRDefault="00961E5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DC7D3D">
        <w:rPr>
          <w:rFonts w:cstheme="minorHAnsi"/>
          <w:sz w:val="24"/>
          <w:szCs w:val="24"/>
        </w:rPr>
        <w:t xml:space="preserve">xpenses </w:t>
      </w:r>
      <w:r>
        <w:rPr>
          <w:rFonts w:cstheme="minorHAnsi"/>
          <w:sz w:val="24"/>
          <w:szCs w:val="24"/>
        </w:rPr>
        <w:t xml:space="preserve">appropriately </w:t>
      </w:r>
      <w:r w:rsidR="00DC7D3D">
        <w:rPr>
          <w:rFonts w:cstheme="minorHAnsi"/>
          <w:sz w:val="24"/>
          <w:szCs w:val="24"/>
        </w:rPr>
        <w:t>covered by the employer or district</w:t>
      </w:r>
    </w:p>
    <w:p w14:paraId="13C19EED" w14:textId="0AB2C23D" w:rsidR="006668EE" w:rsidRDefault="006668E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07FF5">
        <w:rPr>
          <w:rFonts w:cstheme="minorHAnsi"/>
          <w:sz w:val="24"/>
          <w:szCs w:val="24"/>
        </w:rPr>
        <w:t xml:space="preserve">Legislative programs </w:t>
      </w:r>
    </w:p>
    <w:p w14:paraId="06D26067" w14:textId="5CF50226" w:rsidR="00B076F2" w:rsidRPr="00B07FF5" w:rsidRDefault="00B076F2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Political campaigns</w:t>
      </w:r>
    </w:p>
    <w:p w14:paraId="2E4117DA" w14:textId="193F3CFE" w:rsidR="006668EE" w:rsidRPr="00646B9F" w:rsidRDefault="006668EE" w:rsidP="00646B9F">
      <w:pPr>
        <w:spacing w:line="360" w:lineRule="auto"/>
        <w:jc w:val="center"/>
        <w:rPr>
          <w:rFonts w:cstheme="minorHAnsi"/>
          <w:b/>
          <w:sz w:val="24"/>
          <w:szCs w:val="24"/>
          <w:u w:val="thick"/>
        </w:rPr>
      </w:pPr>
      <w:r w:rsidRPr="00646B9F">
        <w:rPr>
          <w:rFonts w:cstheme="minorHAnsi"/>
          <w:b/>
          <w:sz w:val="24"/>
          <w:szCs w:val="24"/>
          <w:u w:val="thick"/>
        </w:rPr>
        <w:t xml:space="preserve">CRITERIA FOR EVALUATING </w:t>
      </w:r>
      <w:r w:rsidR="008A1CAB">
        <w:rPr>
          <w:rFonts w:cstheme="minorHAnsi"/>
          <w:b/>
          <w:sz w:val="24"/>
          <w:szCs w:val="24"/>
          <w:u w:val="thick"/>
        </w:rPr>
        <w:t>FUNDING</w:t>
      </w:r>
      <w:r w:rsidR="008A1CAB" w:rsidRPr="00646B9F">
        <w:rPr>
          <w:rFonts w:cstheme="minorHAnsi"/>
          <w:b/>
          <w:sz w:val="24"/>
          <w:szCs w:val="24"/>
          <w:u w:val="thick"/>
        </w:rPr>
        <w:t xml:space="preserve"> </w:t>
      </w:r>
      <w:r w:rsidRPr="00646B9F">
        <w:rPr>
          <w:rFonts w:cstheme="minorHAnsi"/>
          <w:b/>
          <w:sz w:val="24"/>
          <w:szCs w:val="24"/>
          <w:u w:val="thick"/>
        </w:rPr>
        <w:t>APPLICATIONS</w:t>
      </w:r>
    </w:p>
    <w:p w14:paraId="123CD759" w14:textId="23C54B8B" w:rsidR="00817691" w:rsidRPr="00C52090" w:rsidRDefault="00103206">
      <w:pPr>
        <w:spacing w:line="360" w:lineRule="auto"/>
        <w:rPr>
          <w:rFonts w:cstheme="minorHAnsi"/>
          <w:sz w:val="24"/>
          <w:szCs w:val="24"/>
        </w:rPr>
      </w:pPr>
      <w:r w:rsidRPr="00C52090">
        <w:rPr>
          <w:rFonts w:cstheme="minorHAnsi"/>
          <w:sz w:val="24"/>
          <w:szCs w:val="24"/>
        </w:rPr>
        <w:t xml:space="preserve">In </w:t>
      </w:r>
      <w:r w:rsidR="008A1CAB">
        <w:rPr>
          <w:rFonts w:cstheme="minorHAnsi"/>
          <w:sz w:val="24"/>
          <w:szCs w:val="24"/>
        </w:rPr>
        <w:t xml:space="preserve">making </w:t>
      </w:r>
      <w:r w:rsidR="00783EF4">
        <w:rPr>
          <w:rFonts w:cstheme="minorHAnsi"/>
          <w:sz w:val="24"/>
          <w:szCs w:val="24"/>
        </w:rPr>
        <w:t>decisions</w:t>
      </w:r>
      <w:r w:rsidRPr="00C52090">
        <w:rPr>
          <w:rFonts w:cstheme="minorHAnsi"/>
          <w:sz w:val="24"/>
          <w:szCs w:val="24"/>
        </w:rPr>
        <w:t xml:space="preserve">, primary consideration </w:t>
      </w:r>
      <w:r w:rsidR="00197DF5">
        <w:rPr>
          <w:rFonts w:cstheme="minorHAnsi"/>
          <w:sz w:val="24"/>
          <w:szCs w:val="24"/>
        </w:rPr>
        <w:t>is</w:t>
      </w:r>
      <w:r w:rsidRPr="00C52090">
        <w:rPr>
          <w:rFonts w:cstheme="minorHAnsi"/>
          <w:sz w:val="24"/>
          <w:szCs w:val="24"/>
        </w:rPr>
        <w:t xml:space="preserve"> given to the following criteria:</w:t>
      </w:r>
    </w:p>
    <w:p w14:paraId="431E19F1" w14:textId="1D12044E" w:rsidR="00103206" w:rsidRPr="006F19A9" w:rsidRDefault="0010320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F19A9">
        <w:rPr>
          <w:rFonts w:cstheme="minorHAnsi"/>
          <w:sz w:val="24"/>
          <w:szCs w:val="24"/>
        </w:rPr>
        <w:lastRenderedPageBreak/>
        <w:t xml:space="preserve">Potential of the proposed program or activities to </w:t>
      </w:r>
      <w:r w:rsidR="00BF2CC9">
        <w:rPr>
          <w:rFonts w:cstheme="minorHAnsi"/>
          <w:sz w:val="24"/>
          <w:szCs w:val="24"/>
        </w:rPr>
        <w:t xml:space="preserve">identify and mitigate systemic barriers to </w:t>
      </w:r>
      <w:r w:rsidRPr="006F19A9">
        <w:rPr>
          <w:rFonts w:cstheme="minorHAnsi"/>
          <w:sz w:val="24"/>
          <w:szCs w:val="24"/>
        </w:rPr>
        <w:t xml:space="preserve">student </w:t>
      </w:r>
      <w:r w:rsidR="00BF2CC9">
        <w:rPr>
          <w:rFonts w:cstheme="minorHAnsi"/>
          <w:sz w:val="24"/>
          <w:szCs w:val="24"/>
        </w:rPr>
        <w:t xml:space="preserve">and educator </w:t>
      </w:r>
      <w:r w:rsidRPr="006F19A9">
        <w:rPr>
          <w:rFonts w:cstheme="minorHAnsi"/>
          <w:sz w:val="24"/>
          <w:szCs w:val="24"/>
        </w:rPr>
        <w:t xml:space="preserve">success, especially </w:t>
      </w:r>
      <w:r w:rsidR="00155AB1">
        <w:rPr>
          <w:rFonts w:cstheme="minorHAnsi"/>
          <w:sz w:val="24"/>
          <w:szCs w:val="24"/>
        </w:rPr>
        <w:t>for students who are or have been disproportionately impacted by systemic and discriminatory racial and social justice policies</w:t>
      </w:r>
      <w:r w:rsidRPr="006F19A9">
        <w:rPr>
          <w:rFonts w:cstheme="minorHAnsi"/>
          <w:sz w:val="24"/>
          <w:szCs w:val="24"/>
        </w:rPr>
        <w:t>;</w:t>
      </w:r>
    </w:p>
    <w:p w14:paraId="74D61D9F" w14:textId="62EFC82B" w:rsidR="00103206" w:rsidRPr="00807511" w:rsidRDefault="00D309B2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</w:t>
      </w:r>
      <w:r w:rsidRPr="00807511">
        <w:rPr>
          <w:rFonts w:cstheme="minorHAnsi"/>
          <w:sz w:val="24"/>
          <w:szCs w:val="24"/>
        </w:rPr>
        <w:t xml:space="preserve"> </w:t>
      </w:r>
      <w:r w:rsidR="00103206" w:rsidRPr="00807511">
        <w:rPr>
          <w:rFonts w:cstheme="minorHAnsi"/>
          <w:sz w:val="24"/>
          <w:szCs w:val="24"/>
        </w:rPr>
        <w:t xml:space="preserve">to expand the capacity of the Affiliate to lead </w:t>
      </w:r>
      <w:r w:rsidR="00BF2CC9">
        <w:rPr>
          <w:rFonts w:cstheme="minorHAnsi"/>
          <w:sz w:val="24"/>
          <w:szCs w:val="24"/>
        </w:rPr>
        <w:t>in addressing issues of health</w:t>
      </w:r>
      <w:r w:rsidR="00155AB1">
        <w:rPr>
          <w:rFonts w:cstheme="minorHAnsi"/>
          <w:sz w:val="24"/>
          <w:szCs w:val="24"/>
        </w:rPr>
        <w:t xml:space="preserve"> and </w:t>
      </w:r>
      <w:r w:rsidR="00BF2CC9">
        <w:rPr>
          <w:rFonts w:cstheme="minorHAnsi"/>
          <w:sz w:val="24"/>
          <w:szCs w:val="24"/>
        </w:rPr>
        <w:t>safety, and</w:t>
      </w:r>
      <w:r w:rsidR="00155AB1">
        <w:rPr>
          <w:rFonts w:cstheme="minorHAnsi"/>
          <w:sz w:val="24"/>
          <w:szCs w:val="24"/>
        </w:rPr>
        <w:t xml:space="preserve"> in transforming</w:t>
      </w:r>
      <w:r w:rsidR="00BF2CC9">
        <w:rPr>
          <w:rFonts w:cstheme="minorHAnsi"/>
          <w:sz w:val="24"/>
          <w:szCs w:val="24"/>
        </w:rPr>
        <w:t xml:space="preserve"> </w:t>
      </w:r>
      <w:r w:rsidR="00634322">
        <w:rPr>
          <w:rFonts w:cstheme="minorHAnsi"/>
          <w:sz w:val="24"/>
          <w:szCs w:val="24"/>
        </w:rPr>
        <w:t>learning and working conditions</w:t>
      </w:r>
      <w:r w:rsidR="00155AB1">
        <w:rPr>
          <w:rFonts w:cstheme="minorHAnsi"/>
          <w:sz w:val="24"/>
          <w:szCs w:val="24"/>
        </w:rPr>
        <w:t xml:space="preserve"> to end racial and social injustice</w:t>
      </w:r>
      <w:r w:rsidR="00103206" w:rsidRPr="00807511">
        <w:rPr>
          <w:rFonts w:cstheme="minorHAnsi"/>
          <w:sz w:val="24"/>
          <w:szCs w:val="24"/>
        </w:rPr>
        <w:t>;</w:t>
      </w:r>
    </w:p>
    <w:p w14:paraId="553B4C41" w14:textId="77777777" w:rsidR="00103206" w:rsidRPr="009C2C73" w:rsidRDefault="0010320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B07FF5">
        <w:rPr>
          <w:rFonts w:cstheme="minorHAnsi"/>
          <w:sz w:val="24"/>
          <w:szCs w:val="24"/>
        </w:rPr>
        <w:t>Strength of partnerships</w:t>
      </w:r>
      <w:r w:rsidR="00BF2CC9">
        <w:rPr>
          <w:rFonts w:cstheme="minorHAnsi"/>
          <w:sz w:val="24"/>
          <w:szCs w:val="24"/>
        </w:rPr>
        <w:t>, coalitions, or alliances</w:t>
      </w:r>
      <w:r w:rsidRPr="00B07FF5">
        <w:rPr>
          <w:rFonts w:cstheme="minorHAnsi"/>
          <w:sz w:val="24"/>
          <w:szCs w:val="24"/>
        </w:rPr>
        <w:t xml:space="preserve"> involved (excludes contractor</w:t>
      </w:r>
      <w:r w:rsidR="00F65733" w:rsidRPr="00B07FF5">
        <w:rPr>
          <w:rFonts w:cstheme="minorHAnsi"/>
          <w:sz w:val="24"/>
          <w:szCs w:val="24"/>
        </w:rPr>
        <w:t>s</w:t>
      </w:r>
      <w:r w:rsidRPr="00B07FF5">
        <w:rPr>
          <w:rFonts w:cstheme="minorHAnsi"/>
          <w:sz w:val="24"/>
          <w:szCs w:val="24"/>
        </w:rPr>
        <w:t xml:space="preserve"> and consultants) and degree of collaboration and commitment to the successful outcome of the project by all;</w:t>
      </w:r>
    </w:p>
    <w:p w14:paraId="5EE93E3E" w14:textId="3F2B39A1" w:rsidR="00510595" w:rsidRPr="00443DCC" w:rsidRDefault="0092766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10595" w:rsidRPr="00443DCC">
        <w:rPr>
          <w:rFonts w:cstheme="minorHAnsi"/>
          <w:sz w:val="24"/>
          <w:szCs w:val="24"/>
        </w:rPr>
        <w:t xml:space="preserve">otential for expansion </w:t>
      </w:r>
      <w:r>
        <w:rPr>
          <w:rFonts w:cstheme="minorHAnsi"/>
          <w:sz w:val="24"/>
          <w:szCs w:val="24"/>
        </w:rPr>
        <w:t xml:space="preserve">or sustaining of the </w:t>
      </w:r>
      <w:r w:rsidR="00D309B2">
        <w:rPr>
          <w:rFonts w:cstheme="minorHAnsi"/>
          <w:sz w:val="24"/>
          <w:szCs w:val="24"/>
        </w:rPr>
        <w:t>funded program</w:t>
      </w:r>
      <w:r w:rsidR="00510595" w:rsidRPr="00443DCC">
        <w:rPr>
          <w:rFonts w:cstheme="minorHAnsi"/>
          <w:sz w:val="24"/>
          <w:szCs w:val="24"/>
        </w:rPr>
        <w:t>;</w:t>
      </w:r>
    </w:p>
    <w:p w14:paraId="3505A831" w14:textId="4B7CFF35" w:rsidR="00510595" w:rsidRPr="00443DCC" w:rsidRDefault="0051059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443DCC">
        <w:rPr>
          <w:rFonts w:cstheme="minorHAnsi"/>
          <w:sz w:val="24"/>
          <w:szCs w:val="24"/>
        </w:rPr>
        <w:t>Potential for extending the program</w:t>
      </w:r>
      <w:r w:rsidR="001F4FFF">
        <w:rPr>
          <w:rFonts w:cstheme="minorHAnsi"/>
          <w:sz w:val="24"/>
          <w:szCs w:val="24"/>
        </w:rPr>
        <w:t>, practice</w:t>
      </w:r>
      <w:r w:rsidR="00A02E80">
        <w:rPr>
          <w:rFonts w:cstheme="minorHAnsi"/>
          <w:sz w:val="24"/>
          <w:szCs w:val="24"/>
        </w:rPr>
        <w:t>,</w:t>
      </w:r>
      <w:r w:rsidRPr="00443DCC">
        <w:rPr>
          <w:rFonts w:cstheme="minorHAnsi"/>
          <w:sz w:val="24"/>
          <w:szCs w:val="24"/>
        </w:rPr>
        <w:t xml:space="preserve"> or findings to other NEA </w:t>
      </w:r>
      <w:r w:rsidR="004D27D5" w:rsidRPr="00443DCC">
        <w:rPr>
          <w:rFonts w:cstheme="minorHAnsi"/>
          <w:sz w:val="24"/>
          <w:szCs w:val="24"/>
        </w:rPr>
        <w:t>Affiliates</w:t>
      </w:r>
      <w:r w:rsidR="00BC1896">
        <w:rPr>
          <w:rFonts w:cstheme="minorHAnsi"/>
          <w:sz w:val="24"/>
          <w:szCs w:val="24"/>
        </w:rPr>
        <w:t xml:space="preserve"> or Chapters</w:t>
      </w:r>
      <w:r w:rsidR="004D27D5" w:rsidRPr="00443DCC">
        <w:rPr>
          <w:rFonts w:cstheme="minorHAnsi"/>
          <w:sz w:val="24"/>
          <w:szCs w:val="24"/>
        </w:rPr>
        <w:t xml:space="preserve">; </w:t>
      </w:r>
    </w:p>
    <w:p w14:paraId="4D44B341" w14:textId="784EA9B4" w:rsidR="003C396C" w:rsidRPr="00EE59F0" w:rsidRDefault="00D309B2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Potential of</w:t>
      </w:r>
      <w:r w:rsidR="004D27D5" w:rsidRPr="00443DCC">
        <w:rPr>
          <w:rFonts w:cstheme="minorHAnsi"/>
          <w:sz w:val="24"/>
          <w:szCs w:val="24"/>
        </w:rPr>
        <w:t xml:space="preserve"> innovation for the Affiliate(s) and presentation of new ways to </w:t>
      </w:r>
      <w:r w:rsidR="003C396C">
        <w:rPr>
          <w:rFonts w:cstheme="minorHAnsi"/>
          <w:sz w:val="24"/>
          <w:szCs w:val="24"/>
        </w:rPr>
        <w:t xml:space="preserve">recruit, </w:t>
      </w:r>
      <w:r w:rsidR="004D27D5" w:rsidRPr="00443DCC">
        <w:rPr>
          <w:rFonts w:cstheme="minorHAnsi"/>
          <w:sz w:val="24"/>
          <w:szCs w:val="24"/>
        </w:rPr>
        <w:t>engage</w:t>
      </w:r>
      <w:r w:rsidR="003C396C">
        <w:rPr>
          <w:rFonts w:cstheme="minorHAnsi"/>
          <w:sz w:val="24"/>
          <w:szCs w:val="24"/>
        </w:rPr>
        <w:t>, and retain</w:t>
      </w:r>
      <w:r w:rsidR="004D27D5" w:rsidRPr="00443DCC">
        <w:rPr>
          <w:rFonts w:cstheme="minorHAnsi"/>
          <w:sz w:val="24"/>
          <w:szCs w:val="24"/>
        </w:rPr>
        <w:t xml:space="preserve"> members in addressing </w:t>
      </w:r>
      <w:r w:rsidR="00CF6BFF">
        <w:rPr>
          <w:rFonts w:cstheme="minorHAnsi"/>
          <w:sz w:val="24"/>
          <w:szCs w:val="24"/>
        </w:rPr>
        <w:t>health</w:t>
      </w:r>
      <w:r w:rsidR="003C396C">
        <w:rPr>
          <w:rFonts w:cstheme="minorHAnsi"/>
          <w:sz w:val="24"/>
          <w:szCs w:val="24"/>
        </w:rPr>
        <w:t xml:space="preserve"> and </w:t>
      </w:r>
      <w:r w:rsidR="00CF6BFF">
        <w:rPr>
          <w:rFonts w:cstheme="minorHAnsi"/>
          <w:sz w:val="24"/>
          <w:szCs w:val="24"/>
        </w:rPr>
        <w:t>safety</w:t>
      </w:r>
      <w:r w:rsidR="0092766B">
        <w:rPr>
          <w:rFonts w:cstheme="minorHAnsi"/>
          <w:sz w:val="24"/>
          <w:szCs w:val="24"/>
        </w:rPr>
        <w:t>,</w:t>
      </w:r>
      <w:r w:rsidR="00CF6BFF">
        <w:rPr>
          <w:rFonts w:cstheme="minorHAnsi"/>
          <w:sz w:val="24"/>
          <w:szCs w:val="24"/>
        </w:rPr>
        <w:t xml:space="preserve"> or </w:t>
      </w:r>
      <w:r w:rsidR="003C396C">
        <w:rPr>
          <w:rFonts w:cstheme="minorHAnsi"/>
          <w:sz w:val="24"/>
          <w:szCs w:val="24"/>
        </w:rPr>
        <w:t xml:space="preserve">unjust </w:t>
      </w:r>
      <w:r w:rsidR="00CF6BFF">
        <w:rPr>
          <w:rFonts w:cstheme="minorHAnsi"/>
          <w:sz w:val="24"/>
          <w:szCs w:val="24"/>
        </w:rPr>
        <w:t>learning condition</w:t>
      </w:r>
      <w:r w:rsidR="0057256F">
        <w:rPr>
          <w:rFonts w:cstheme="minorHAnsi"/>
          <w:sz w:val="24"/>
          <w:szCs w:val="24"/>
        </w:rPr>
        <w:t>s</w:t>
      </w:r>
      <w:r w:rsidR="003C396C">
        <w:rPr>
          <w:rFonts w:cstheme="minorHAnsi"/>
          <w:sz w:val="24"/>
          <w:szCs w:val="24"/>
        </w:rPr>
        <w:t xml:space="preserve"> while demonstrating an intentional, strategic approach:</w:t>
      </w:r>
    </w:p>
    <w:p w14:paraId="5A7C7C8F" w14:textId="7361FE06" w:rsidR="003C396C" w:rsidRPr="00EE59F0" w:rsidRDefault="003C396C" w:rsidP="00EE59F0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informed</w:t>
      </w:r>
      <w:r w:rsidR="004D27D5" w:rsidRPr="006D659E">
        <w:rPr>
          <w:rFonts w:cstheme="minorHAnsi"/>
          <w:sz w:val="24"/>
          <w:szCs w:val="24"/>
        </w:rPr>
        <w:t xml:space="preserve"> by the Affiliate(s) membership</w:t>
      </w:r>
      <w:r w:rsidR="00CF6BFF" w:rsidRPr="006D659E">
        <w:rPr>
          <w:rFonts w:cstheme="minorHAnsi"/>
          <w:sz w:val="24"/>
          <w:szCs w:val="24"/>
        </w:rPr>
        <w:t>, their students, and</w:t>
      </w:r>
      <w:r w:rsidR="0057256F" w:rsidRPr="006D659E">
        <w:rPr>
          <w:rFonts w:cstheme="minorHAnsi"/>
          <w:sz w:val="24"/>
          <w:szCs w:val="24"/>
        </w:rPr>
        <w:t>/or</w:t>
      </w:r>
      <w:r w:rsidR="00CF6BFF" w:rsidRPr="006D659E">
        <w:rPr>
          <w:rFonts w:cstheme="minorHAnsi"/>
          <w:sz w:val="24"/>
          <w:szCs w:val="24"/>
        </w:rPr>
        <w:t xml:space="preserve"> the community</w:t>
      </w:r>
      <w:r w:rsidR="000218F0" w:rsidRPr="006D659E">
        <w:rPr>
          <w:rFonts w:cstheme="minorHAnsi"/>
          <w:sz w:val="24"/>
          <w:szCs w:val="24"/>
        </w:rPr>
        <w:t>;</w:t>
      </w:r>
    </w:p>
    <w:p w14:paraId="0B50F7B1" w14:textId="7267B2CB" w:rsidR="003C396C" w:rsidRPr="00EE59F0" w:rsidRDefault="003C396C" w:rsidP="00EE59F0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promot</w:t>
      </w:r>
      <w:r w:rsidR="00961E5A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deep member engagement, leadership development, and collective action; and </w:t>
      </w:r>
    </w:p>
    <w:p w14:paraId="35122735" w14:textId="2B8B85DD" w:rsidR="004D27D5" w:rsidRPr="00443DCC" w:rsidRDefault="003C396C" w:rsidP="00EE59F0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rel</w:t>
      </w:r>
      <w:r w:rsidR="00961E5A">
        <w:rPr>
          <w:rFonts w:cstheme="minorHAnsi"/>
          <w:sz w:val="24"/>
          <w:szCs w:val="24"/>
        </w:rPr>
        <w:t>ying</w:t>
      </w:r>
      <w:r>
        <w:rPr>
          <w:rFonts w:cstheme="minorHAnsi"/>
          <w:sz w:val="24"/>
          <w:szCs w:val="24"/>
        </w:rPr>
        <w:t xml:space="preserve"> on data analytics, accountability, and continuous improvement.</w:t>
      </w:r>
      <w:r w:rsidR="00CF6BFF">
        <w:rPr>
          <w:rFonts w:cstheme="minorHAnsi"/>
          <w:sz w:val="24"/>
          <w:szCs w:val="24"/>
          <w:u w:val="single"/>
        </w:rPr>
        <w:t xml:space="preserve"> </w:t>
      </w:r>
    </w:p>
    <w:p w14:paraId="1476FA11" w14:textId="48973EBB" w:rsidR="004D27D5" w:rsidRPr="00867489" w:rsidRDefault="00CC513F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489">
        <w:rPr>
          <w:rFonts w:cstheme="minorHAnsi"/>
          <w:sz w:val="24"/>
          <w:szCs w:val="24"/>
        </w:rPr>
        <w:t xml:space="preserve">Potential </w:t>
      </w:r>
      <w:r w:rsidR="004D27D5" w:rsidRPr="00867489">
        <w:rPr>
          <w:rFonts w:cstheme="minorHAnsi"/>
          <w:sz w:val="24"/>
          <w:szCs w:val="24"/>
        </w:rPr>
        <w:t>for</w:t>
      </w:r>
      <w:r w:rsidRPr="00867489">
        <w:rPr>
          <w:rFonts w:cstheme="minorHAnsi"/>
          <w:sz w:val="24"/>
          <w:szCs w:val="24"/>
        </w:rPr>
        <w:t xml:space="preserve"> leveraging</w:t>
      </w:r>
      <w:r w:rsidR="004D27D5" w:rsidRPr="00867489">
        <w:rPr>
          <w:rFonts w:cstheme="minorHAnsi"/>
          <w:sz w:val="24"/>
          <w:szCs w:val="24"/>
        </w:rPr>
        <w:t xml:space="preserve"> </w:t>
      </w:r>
      <w:r w:rsidRPr="00867489">
        <w:rPr>
          <w:rFonts w:cstheme="minorHAnsi"/>
          <w:sz w:val="24"/>
          <w:szCs w:val="24"/>
        </w:rPr>
        <w:t xml:space="preserve">Safe and Just Schools Partnership Funds </w:t>
      </w:r>
      <w:r w:rsidR="001C307B" w:rsidRPr="00867489">
        <w:rPr>
          <w:rFonts w:cstheme="minorHAnsi"/>
          <w:sz w:val="24"/>
          <w:szCs w:val="24"/>
        </w:rPr>
        <w:t>with</w:t>
      </w:r>
      <w:r w:rsidRPr="00867489">
        <w:rPr>
          <w:rFonts w:cstheme="minorHAnsi"/>
          <w:sz w:val="24"/>
          <w:szCs w:val="24"/>
        </w:rPr>
        <w:t xml:space="preserve"> </w:t>
      </w:r>
      <w:r w:rsidR="004D27D5" w:rsidRPr="00867489">
        <w:rPr>
          <w:rFonts w:cstheme="minorHAnsi"/>
          <w:sz w:val="24"/>
          <w:szCs w:val="24"/>
        </w:rPr>
        <w:t xml:space="preserve">in-kind, matching, or external funding; and </w:t>
      </w:r>
    </w:p>
    <w:p w14:paraId="3364218A" w14:textId="7CD164E2" w:rsidR="004D27D5" w:rsidRDefault="00D309B2" w:rsidP="00646B9F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Potential for </w:t>
      </w:r>
      <w:r w:rsidR="004D27D5" w:rsidRPr="00646B9F">
        <w:rPr>
          <w:rFonts w:cstheme="minorHAnsi"/>
          <w:sz w:val="24"/>
          <w:szCs w:val="24"/>
        </w:rPr>
        <w:t>leadership development</w:t>
      </w:r>
      <w:r w:rsidR="0057256F">
        <w:rPr>
          <w:rFonts w:cstheme="minorHAnsi"/>
          <w:sz w:val="24"/>
          <w:szCs w:val="24"/>
        </w:rPr>
        <w:t xml:space="preserve">, community and </w:t>
      </w:r>
      <w:r w:rsidR="004D27D5" w:rsidRPr="00646B9F">
        <w:rPr>
          <w:rFonts w:cstheme="minorHAnsi"/>
          <w:sz w:val="24"/>
          <w:szCs w:val="24"/>
        </w:rPr>
        <w:t>member</w:t>
      </w:r>
      <w:r w:rsidR="0057256F">
        <w:rPr>
          <w:rFonts w:cstheme="minorHAnsi"/>
          <w:sz w:val="24"/>
          <w:szCs w:val="24"/>
        </w:rPr>
        <w:t xml:space="preserve"> engagement, and </w:t>
      </w:r>
      <w:r w:rsidR="004D27D5" w:rsidRPr="00646B9F">
        <w:rPr>
          <w:rFonts w:cstheme="minorHAnsi"/>
          <w:sz w:val="24"/>
          <w:szCs w:val="24"/>
        </w:rPr>
        <w:t>non-member recruitment</w:t>
      </w:r>
      <w:r w:rsidR="0057256F">
        <w:rPr>
          <w:rFonts w:cstheme="minorHAnsi"/>
          <w:sz w:val="24"/>
          <w:szCs w:val="24"/>
        </w:rPr>
        <w:t xml:space="preserve"> opportunities </w:t>
      </w:r>
      <w:r w:rsidR="004D27D5" w:rsidRPr="00646B9F">
        <w:rPr>
          <w:rFonts w:cstheme="minorHAnsi"/>
          <w:sz w:val="24"/>
          <w:szCs w:val="24"/>
        </w:rPr>
        <w:t xml:space="preserve">in proposed programs and activities. </w:t>
      </w:r>
    </w:p>
    <w:p w14:paraId="236769ED" w14:textId="77777777" w:rsidR="004D27D5" w:rsidRPr="00646B9F" w:rsidRDefault="004D27D5" w:rsidP="006D659E">
      <w:pPr>
        <w:pStyle w:val="ListParagraph"/>
        <w:spacing w:line="360" w:lineRule="auto"/>
        <w:ind w:left="0"/>
        <w:contextualSpacing w:val="0"/>
        <w:jc w:val="center"/>
        <w:rPr>
          <w:rFonts w:cstheme="minorHAnsi"/>
          <w:b/>
          <w:sz w:val="24"/>
          <w:szCs w:val="24"/>
          <w:u w:val="thick"/>
        </w:rPr>
      </w:pPr>
      <w:r w:rsidRPr="00646B9F">
        <w:rPr>
          <w:rFonts w:cstheme="minorHAnsi"/>
          <w:b/>
          <w:sz w:val="24"/>
          <w:szCs w:val="24"/>
          <w:u w:val="thick"/>
        </w:rPr>
        <w:t>APPLICATION PROCESS</w:t>
      </w:r>
    </w:p>
    <w:p w14:paraId="515764D1" w14:textId="5C88FEE6" w:rsidR="000C2057" w:rsidRDefault="000C2057" w:rsidP="00C75E34">
      <w:pPr>
        <w:pStyle w:val="ListParagraph"/>
        <w:numPr>
          <w:ilvl w:val="0"/>
          <w:numId w:val="16"/>
        </w:numPr>
        <w:spacing w:after="0" w:line="360" w:lineRule="auto"/>
        <w:ind w:right="50"/>
        <w:rPr>
          <w:rFonts w:eastAsia="Times New Roman" w:cstheme="minorHAnsi"/>
          <w:sz w:val="24"/>
          <w:szCs w:val="24"/>
        </w:rPr>
      </w:pPr>
      <w:r w:rsidRPr="007C1FAF">
        <w:rPr>
          <w:rFonts w:eastAsia="Times New Roman" w:cstheme="minorHAnsi"/>
          <w:sz w:val="24"/>
          <w:szCs w:val="24"/>
        </w:rPr>
        <w:t>Applications submitted by or on behalf of individuals</w:t>
      </w:r>
      <w:r w:rsidR="00236EA7">
        <w:rPr>
          <w:rFonts w:eastAsia="Times New Roman" w:cstheme="minorHAnsi"/>
          <w:sz w:val="24"/>
          <w:szCs w:val="24"/>
        </w:rPr>
        <w:t xml:space="preserve"> or </w:t>
      </w:r>
      <w:r w:rsidRPr="007C1FAF">
        <w:rPr>
          <w:rFonts w:eastAsia="Times New Roman" w:cstheme="minorHAnsi"/>
          <w:sz w:val="24"/>
          <w:szCs w:val="24"/>
        </w:rPr>
        <w:t>external organizations will not be considered.</w:t>
      </w:r>
    </w:p>
    <w:p w14:paraId="20C376DA" w14:textId="67111E02" w:rsidR="008954A4" w:rsidRDefault="00D3509B">
      <w:pPr>
        <w:pStyle w:val="ListParagraph"/>
        <w:numPr>
          <w:ilvl w:val="0"/>
          <w:numId w:val="16"/>
        </w:numPr>
        <w:spacing w:after="0" w:line="360" w:lineRule="auto"/>
        <w:ind w:right="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Applications </w:t>
      </w:r>
      <w:r w:rsidR="00D309B2">
        <w:rPr>
          <w:rFonts w:eastAsia="Times New Roman" w:cstheme="minorHAnsi"/>
          <w:sz w:val="24"/>
          <w:szCs w:val="24"/>
        </w:rPr>
        <w:t xml:space="preserve">will be </w:t>
      </w:r>
      <w:r>
        <w:rPr>
          <w:rFonts w:eastAsia="Times New Roman" w:cstheme="minorHAnsi"/>
          <w:sz w:val="24"/>
          <w:szCs w:val="24"/>
        </w:rPr>
        <w:t xml:space="preserve">accepted </w:t>
      </w:r>
      <w:r w:rsidR="00783EF4">
        <w:rPr>
          <w:rFonts w:eastAsia="Times New Roman" w:cstheme="minorHAnsi"/>
          <w:sz w:val="24"/>
          <w:szCs w:val="24"/>
        </w:rPr>
        <w:t xml:space="preserve">through </w:t>
      </w:r>
      <w:proofErr w:type="gramStart"/>
      <w:r w:rsidR="008217FB">
        <w:rPr>
          <w:rFonts w:eastAsia="Times New Roman" w:cstheme="minorHAnsi"/>
          <w:sz w:val="24"/>
          <w:szCs w:val="24"/>
        </w:rPr>
        <w:t xml:space="preserve">July </w:t>
      </w:r>
      <w:r w:rsidR="00C04ABF">
        <w:rPr>
          <w:rFonts w:eastAsia="Times New Roman" w:cstheme="minorHAnsi"/>
          <w:sz w:val="24"/>
          <w:szCs w:val="24"/>
        </w:rPr>
        <w:t>31</w:t>
      </w:r>
      <w:r w:rsidR="00905B99">
        <w:rPr>
          <w:rFonts w:eastAsia="Times New Roman" w:cstheme="minorHAnsi"/>
          <w:sz w:val="24"/>
          <w:szCs w:val="24"/>
        </w:rPr>
        <w:t>, 2021</w:t>
      </w:r>
      <w:r w:rsidR="008217FB">
        <w:rPr>
          <w:rFonts w:eastAsia="Times New Roman" w:cstheme="minorHAnsi"/>
          <w:sz w:val="24"/>
          <w:szCs w:val="24"/>
        </w:rPr>
        <w:t>,</w:t>
      </w:r>
      <w:r w:rsidR="00905B99">
        <w:rPr>
          <w:rFonts w:eastAsia="Times New Roman" w:cstheme="minorHAnsi"/>
          <w:sz w:val="24"/>
          <w:szCs w:val="24"/>
        </w:rPr>
        <w:t xml:space="preserve"> </w:t>
      </w:r>
      <w:r w:rsidR="008217FB">
        <w:rPr>
          <w:rFonts w:eastAsia="Times New Roman" w:cstheme="minorHAnsi"/>
          <w:sz w:val="24"/>
          <w:szCs w:val="24"/>
        </w:rPr>
        <w:t>and</w:t>
      </w:r>
      <w:proofErr w:type="gramEnd"/>
      <w:r w:rsidR="008217FB">
        <w:rPr>
          <w:rFonts w:eastAsia="Times New Roman" w:cstheme="minorHAnsi"/>
          <w:sz w:val="24"/>
          <w:szCs w:val="24"/>
        </w:rPr>
        <w:t xml:space="preserve"> awarded on a rolling basis </w:t>
      </w:r>
      <w:r w:rsidR="00EA3FE3">
        <w:rPr>
          <w:rFonts w:eastAsia="Times New Roman" w:cstheme="minorHAnsi"/>
          <w:sz w:val="24"/>
          <w:szCs w:val="24"/>
        </w:rPr>
        <w:t xml:space="preserve">contingent </w:t>
      </w:r>
      <w:r w:rsidR="00C04ABF">
        <w:rPr>
          <w:rFonts w:eastAsia="Times New Roman" w:cstheme="minorHAnsi"/>
          <w:sz w:val="24"/>
          <w:szCs w:val="24"/>
        </w:rPr>
        <w:t>on available funding</w:t>
      </w:r>
      <w:r w:rsidR="00DF76C4">
        <w:rPr>
          <w:rFonts w:eastAsia="Times New Roman" w:cstheme="minorHAnsi"/>
          <w:sz w:val="24"/>
          <w:szCs w:val="24"/>
        </w:rPr>
        <w:t>.</w:t>
      </w:r>
      <w:r w:rsidR="00905B99">
        <w:rPr>
          <w:rFonts w:eastAsia="Times New Roman" w:cstheme="minorHAnsi"/>
          <w:sz w:val="24"/>
          <w:szCs w:val="24"/>
        </w:rPr>
        <w:t xml:space="preserve"> </w:t>
      </w:r>
      <w:r w:rsidR="00D265F8">
        <w:rPr>
          <w:rFonts w:eastAsia="Times New Roman" w:cstheme="minorHAnsi"/>
          <w:sz w:val="24"/>
          <w:szCs w:val="24"/>
        </w:rPr>
        <w:t xml:space="preserve">Applications will receive a response </w:t>
      </w:r>
      <w:r w:rsidR="00226300">
        <w:rPr>
          <w:rFonts w:eastAsia="Times New Roman" w:cstheme="minorHAnsi"/>
          <w:sz w:val="24"/>
          <w:szCs w:val="24"/>
        </w:rPr>
        <w:t>within 30 days of submission</w:t>
      </w:r>
      <w:r w:rsidR="00D265F8">
        <w:rPr>
          <w:rFonts w:eastAsia="Times New Roman" w:cstheme="minorHAnsi"/>
          <w:sz w:val="24"/>
          <w:szCs w:val="24"/>
        </w:rPr>
        <w:t>.</w:t>
      </w:r>
    </w:p>
    <w:p w14:paraId="05B34345" w14:textId="0610C3F5" w:rsidR="00A245C0" w:rsidRDefault="00783EF4">
      <w:pPr>
        <w:pStyle w:val="ListParagraph"/>
        <w:numPr>
          <w:ilvl w:val="0"/>
          <w:numId w:val="16"/>
        </w:numPr>
        <w:spacing w:after="0" w:line="360" w:lineRule="auto"/>
        <w:ind w:right="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Application proposals</w:t>
      </w:r>
      <w:r w:rsidR="008954A4">
        <w:rPr>
          <w:rFonts w:eastAsia="Times New Roman" w:cstheme="minorHAnsi"/>
          <w:sz w:val="24"/>
          <w:szCs w:val="24"/>
        </w:rPr>
        <w:t xml:space="preserve"> </w:t>
      </w:r>
      <w:r w:rsidR="00197DF5">
        <w:rPr>
          <w:rFonts w:eastAsia="Times New Roman" w:cstheme="minorHAnsi"/>
          <w:sz w:val="24"/>
          <w:szCs w:val="24"/>
        </w:rPr>
        <w:t>are</w:t>
      </w:r>
      <w:r w:rsidR="008954A4">
        <w:rPr>
          <w:rFonts w:eastAsia="Times New Roman" w:cstheme="minorHAnsi"/>
          <w:sz w:val="24"/>
          <w:szCs w:val="24"/>
        </w:rPr>
        <w:t xml:space="preserve"> reviewed by </w:t>
      </w:r>
      <w:r w:rsidR="00D309B2">
        <w:rPr>
          <w:rFonts w:eastAsia="Times New Roman" w:cstheme="minorHAnsi"/>
          <w:sz w:val="24"/>
          <w:szCs w:val="24"/>
        </w:rPr>
        <w:t>a</w:t>
      </w:r>
      <w:r w:rsidR="001C307B">
        <w:rPr>
          <w:rFonts w:eastAsia="Times New Roman" w:cstheme="minorHAnsi"/>
          <w:sz w:val="24"/>
          <w:szCs w:val="24"/>
        </w:rPr>
        <w:t>n NEA</w:t>
      </w:r>
      <w:r w:rsidR="00D309B2">
        <w:rPr>
          <w:rFonts w:eastAsia="Times New Roman" w:cstheme="minorHAnsi"/>
          <w:sz w:val="24"/>
          <w:szCs w:val="24"/>
        </w:rPr>
        <w:t xml:space="preserve"> cross </w:t>
      </w:r>
      <w:r w:rsidR="00CC513F">
        <w:rPr>
          <w:rFonts w:eastAsia="Times New Roman" w:cstheme="minorHAnsi"/>
          <w:sz w:val="24"/>
          <w:szCs w:val="24"/>
        </w:rPr>
        <w:t>center</w:t>
      </w:r>
      <w:r w:rsidR="00D309B2">
        <w:rPr>
          <w:rFonts w:eastAsia="Times New Roman" w:cstheme="minorHAnsi"/>
          <w:sz w:val="24"/>
          <w:szCs w:val="24"/>
        </w:rPr>
        <w:t xml:space="preserve"> team</w:t>
      </w:r>
      <w:r w:rsidR="008954A4">
        <w:rPr>
          <w:rFonts w:eastAsia="Times New Roman" w:cstheme="minorHAnsi"/>
          <w:sz w:val="24"/>
          <w:szCs w:val="24"/>
        </w:rPr>
        <w:t>.</w:t>
      </w:r>
    </w:p>
    <w:p w14:paraId="492858C6" w14:textId="7330CEDE" w:rsidR="008954A4" w:rsidRPr="00E8196C" w:rsidRDefault="008954A4" w:rsidP="008954A4">
      <w:pPr>
        <w:pStyle w:val="ListParagraph"/>
        <w:numPr>
          <w:ilvl w:val="0"/>
          <w:numId w:val="16"/>
        </w:numPr>
        <w:spacing w:after="200" w:line="360" w:lineRule="auto"/>
        <w:rPr>
          <w:rFonts w:cstheme="minorHAnsi"/>
          <w:sz w:val="24"/>
          <w:szCs w:val="24"/>
        </w:rPr>
      </w:pPr>
      <w:r w:rsidRPr="00E8196C">
        <w:rPr>
          <w:rFonts w:cstheme="minorHAnsi"/>
          <w:sz w:val="24"/>
          <w:szCs w:val="24"/>
        </w:rPr>
        <w:t xml:space="preserve">Following </w:t>
      </w:r>
      <w:r>
        <w:rPr>
          <w:rFonts w:cstheme="minorHAnsi"/>
          <w:sz w:val="24"/>
          <w:szCs w:val="24"/>
        </w:rPr>
        <w:t>review of an Affiliate</w:t>
      </w:r>
      <w:r w:rsidR="00DF76C4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s </w:t>
      </w:r>
      <w:r w:rsidR="002B5C5E">
        <w:rPr>
          <w:rFonts w:cstheme="minorHAnsi"/>
          <w:sz w:val="24"/>
          <w:szCs w:val="24"/>
        </w:rPr>
        <w:t xml:space="preserve">Safe and Just Schools Partnership </w:t>
      </w:r>
      <w:r w:rsidR="00DF76C4">
        <w:rPr>
          <w:rFonts w:cstheme="minorHAnsi"/>
          <w:sz w:val="24"/>
          <w:szCs w:val="24"/>
        </w:rPr>
        <w:t>Funding</w:t>
      </w:r>
      <w:r>
        <w:rPr>
          <w:rFonts w:cstheme="minorHAnsi"/>
          <w:sz w:val="24"/>
          <w:szCs w:val="24"/>
        </w:rPr>
        <w:t xml:space="preserve"> </w:t>
      </w:r>
      <w:r w:rsidRPr="00E8196C">
        <w:rPr>
          <w:rFonts w:cstheme="minorHAnsi"/>
          <w:sz w:val="24"/>
          <w:szCs w:val="24"/>
        </w:rPr>
        <w:t>proposal</w:t>
      </w:r>
      <w:r>
        <w:rPr>
          <w:rFonts w:cstheme="minorHAnsi"/>
          <w:sz w:val="24"/>
          <w:szCs w:val="24"/>
        </w:rPr>
        <w:t xml:space="preserve">, NEA </w:t>
      </w:r>
      <w:r w:rsidRPr="00E8196C">
        <w:rPr>
          <w:rFonts w:cstheme="minorHAnsi"/>
          <w:sz w:val="24"/>
          <w:szCs w:val="24"/>
        </w:rPr>
        <w:t xml:space="preserve">may request of an applicant: </w:t>
      </w:r>
    </w:p>
    <w:p w14:paraId="2BE2924D" w14:textId="77777777" w:rsidR="008954A4" w:rsidRPr="00E8196C" w:rsidRDefault="008954A4" w:rsidP="008954A4">
      <w:pPr>
        <w:pStyle w:val="ListParagraph"/>
        <w:numPr>
          <w:ilvl w:val="1"/>
          <w:numId w:val="16"/>
        </w:numPr>
        <w:spacing w:after="200" w:line="360" w:lineRule="auto"/>
        <w:rPr>
          <w:rFonts w:cstheme="minorHAnsi"/>
          <w:sz w:val="24"/>
          <w:szCs w:val="24"/>
        </w:rPr>
      </w:pPr>
      <w:r w:rsidRPr="00E8196C">
        <w:rPr>
          <w:rFonts w:cstheme="minorHAnsi"/>
          <w:sz w:val="24"/>
          <w:szCs w:val="24"/>
        </w:rPr>
        <w:t xml:space="preserve">Additional information to clarify or support a proposal; </w:t>
      </w:r>
    </w:p>
    <w:p w14:paraId="2E135CCE" w14:textId="77777777" w:rsidR="008954A4" w:rsidRPr="00E8196C" w:rsidRDefault="008954A4" w:rsidP="008954A4">
      <w:pPr>
        <w:pStyle w:val="ListParagraph"/>
        <w:numPr>
          <w:ilvl w:val="1"/>
          <w:numId w:val="16"/>
        </w:numPr>
        <w:spacing w:after="200" w:line="360" w:lineRule="auto"/>
        <w:rPr>
          <w:rFonts w:cstheme="minorHAnsi"/>
          <w:sz w:val="24"/>
          <w:szCs w:val="24"/>
        </w:rPr>
      </w:pPr>
      <w:r w:rsidRPr="00E8196C">
        <w:rPr>
          <w:rFonts w:cstheme="minorHAnsi"/>
          <w:sz w:val="24"/>
          <w:szCs w:val="24"/>
        </w:rPr>
        <w:t>Recommendations or verification of partner support and involvement;</w:t>
      </w:r>
      <w:r w:rsidR="00DF76C4">
        <w:rPr>
          <w:rFonts w:cstheme="minorHAnsi"/>
          <w:sz w:val="24"/>
          <w:szCs w:val="24"/>
        </w:rPr>
        <w:t xml:space="preserve"> and</w:t>
      </w:r>
    </w:p>
    <w:p w14:paraId="37DC1398" w14:textId="77777777" w:rsidR="008954A4" w:rsidRDefault="00783EF4" w:rsidP="006D659E">
      <w:pPr>
        <w:pStyle w:val="ListParagraph"/>
        <w:numPr>
          <w:ilvl w:val="1"/>
          <w:numId w:val="16"/>
        </w:numPr>
        <w:spacing w:after="20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Evaluation and/or </w:t>
      </w:r>
      <w:r w:rsidR="008954A4" w:rsidRPr="00E8196C">
        <w:rPr>
          <w:rFonts w:cstheme="minorHAnsi"/>
          <w:sz w:val="24"/>
          <w:szCs w:val="24"/>
        </w:rPr>
        <w:t xml:space="preserve">assessment of previous or existing </w:t>
      </w:r>
      <w:r w:rsidR="00DF76C4">
        <w:rPr>
          <w:rFonts w:cstheme="minorHAnsi"/>
          <w:sz w:val="24"/>
          <w:szCs w:val="24"/>
        </w:rPr>
        <w:t>NEA g</w:t>
      </w:r>
      <w:r w:rsidR="008954A4" w:rsidRPr="00E8196C">
        <w:rPr>
          <w:rFonts w:cstheme="minorHAnsi"/>
          <w:sz w:val="24"/>
          <w:szCs w:val="24"/>
        </w:rPr>
        <w:t>rants to ensure they are in compliance with their intended goals and purpose</w:t>
      </w:r>
      <w:r w:rsidR="008954A4">
        <w:rPr>
          <w:rFonts w:cstheme="minorHAnsi"/>
          <w:sz w:val="24"/>
          <w:szCs w:val="24"/>
        </w:rPr>
        <w:t>.</w:t>
      </w:r>
      <w:r w:rsidR="008954A4" w:rsidRPr="00E8196C">
        <w:rPr>
          <w:rFonts w:cstheme="minorHAnsi"/>
          <w:sz w:val="24"/>
          <w:szCs w:val="24"/>
        </w:rPr>
        <w:t xml:space="preserve"> </w:t>
      </w:r>
    </w:p>
    <w:p w14:paraId="10E87002" w14:textId="485F013F" w:rsidR="008954A4" w:rsidRPr="008954A4" w:rsidRDefault="008954A4" w:rsidP="006D659E">
      <w:pPr>
        <w:pStyle w:val="ListParagraph"/>
        <w:numPr>
          <w:ilvl w:val="0"/>
          <w:numId w:val="16"/>
        </w:numPr>
        <w:spacing w:after="200" w:line="360" w:lineRule="auto"/>
        <w:rPr>
          <w:rFonts w:cstheme="minorHAnsi"/>
          <w:sz w:val="24"/>
          <w:szCs w:val="24"/>
        </w:rPr>
      </w:pPr>
      <w:r w:rsidRPr="008954A4">
        <w:rPr>
          <w:rFonts w:cstheme="minorHAnsi"/>
          <w:sz w:val="24"/>
          <w:szCs w:val="24"/>
        </w:rPr>
        <w:t xml:space="preserve">NEA </w:t>
      </w:r>
      <w:r w:rsidR="00D309B2">
        <w:rPr>
          <w:rFonts w:cstheme="minorHAnsi"/>
          <w:sz w:val="24"/>
          <w:szCs w:val="24"/>
        </w:rPr>
        <w:t>will</w:t>
      </w:r>
      <w:r w:rsidRPr="008954A4">
        <w:rPr>
          <w:rFonts w:cstheme="minorHAnsi"/>
          <w:sz w:val="24"/>
          <w:szCs w:val="24"/>
        </w:rPr>
        <w:t xml:space="preserve"> determine the final </w:t>
      </w:r>
      <w:r w:rsidR="00D309B2">
        <w:rPr>
          <w:rFonts w:cstheme="minorHAnsi"/>
          <w:sz w:val="24"/>
          <w:szCs w:val="24"/>
        </w:rPr>
        <w:t>funding</w:t>
      </w:r>
      <w:r w:rsidR="00D309B2" w:rsidRPr="008954A4">
        <w:rPr>
          <w:rFonts w:cstheme="minorHAnsi"/>
          <w:sz w:val="24"/>
          <w:szCs w:val="24"/>
        </w:rPr>
        <w:t xml:space="preserve"> </w:t>
      </w:r>
      <w:r w:rsidRPr="008954A4">
        <w:rPr>
          <w:rFonts w:cstheme="minorHAnsi"/>
          <w:sz w:val="24"/>
          <w:szCs w:val="24"/>
        </w:rPr>
        <w:t>based on:</w:t>
      </w:r>
    </w:p>
    <w:p w14:paraId="401DC2A3" w14:textId="2D9DD6B9" w:rsidR="008954A4" w:rsidRPr="00E70EFF" w:rsidRDefault="008954A4" w:rsidP="006D659E">
      <w:pPr>
        <w:pStyle w:val="ListParagraph"/>
        <w:numPr>
          <w:ilvl w:val="1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Alignment</w:t>
      </w:r>
      <w:r w:rsidRPr="00E70EFF">
        <w:rPr>
          <w:rFonts w:cstheme="minorHAnsi"/>
          <w:sz w:val="24"/>
          <w:szCs w:val="24"/>
        </w:rPr>
        <w:t xml:space="preserve"> wit</w:t>
      </w:r>
      <w:r>
        <w:rPr>
          <w:rFonts w:cstheme="minorHAnsi"/>
          <w:sz w:val="24"/>
          <w:szCs w:val="24"/>
        </w:rPr>
        <w:t>h the Safe and Just School</w:t>
      </w:r>
      <w:r w:rsidR="00A02E8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A02E80">
        <w:rPr>
          <w:rFonts w:cstheme="minorHAnsi"/>
          <w:sz w:val="24"/>
          <w:szCs w:val="24"/>
        </w:rPr>
        <w:t xml:space="preserve">Partnership </w:t>
      </w:r>
      <w:r w:rsidR="001630C2">
        <w:rPr>
          <w:rFonts w:cstheme="minorHAnsi"/>
          <w:sz w:val="24"/>
          <w:szCs w:val="24"/>
        </w:rPr>
        <w:t>Funding G</w:t>
      </w:r>
      <w:r w:rsidRPr="00E70EFF">
        <w:rPr>
          <w:rFonts w:cstheme="minorHAnsi"/>
          <w:sz w:val="24"/>
          <w:szCs w:val="24"/>
        </w:rPr>
        <w:t>uidelines</w:t>
      </w:r>
      <w:r>
        <w:rPr>
          <w:rFonts w:cstheme="minorHAnsi"/>
          <w:sz w:val="24"/>
          <w:szCs w:val="24"/>
        </w:rPr>
        <w:t>;</w:t>
      </w:r>
    </w:p>
    <w:p w14:paraId="50C0ACBF" w14:textId="44E9687D" w:rsidR="008954A4" w:rsidRPr="006F19A9" w:rsidRDefault="008954A4" w:rsidP="006D659E">
      <w:pPr>
        <w:pStyle w:val="ListParagraph"/>
        <w:numPr>
          <w:ilvl w:val="1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Affiliate p</w:t>
      </w:r>
      <w:r w:rsidR="0025687E">
        <w:rPr>
          <w:rFonts w:cstheme="minorHAnsi"/>
          <w:sz w:val="24"/>
          <w:szCs w:val="24"/>
        </w:rPr>
        <w:t>revious performance with</w:t>
      </w:r>
      <w:r w:rsidRPr="006F19A9">
        <w:rPr>
          <w:rFonts w:cstheme="minorHAnsi"/>
          <w:sz w:val="24"/>
          <w:szCs w:val="24"/>
        </w:rPr>
        <w:t xml:space="preserve"> other </w:t>
      </w:r>
      <w:r w:rsidR="0025687E">
        <w:rPr>
          <w:rFonts w:cstheme="minorHAnsi"/>
          <w:sz w:val="24"/>
          <w:szCs w:val="24"/>
        </w:rPr>
        <w:t xml:space="preserve">NEA </w:t>
      </w:r>
      <w:r w:rsidR="00A02E80">
        <w:rPr>
          <w:rFonts w:cstheme="minorHAnsi"/>
          <w:sz w:val="24"/>
          <w:szCs w:val="24"/>
        </w:rPr>
        <w:t>g</w:t>
      </w:r>
      <w:r w:rsidRPr="006F19A9">
        <w:rPr>
          <w:rFonts w:cstheme="minorHAnsi"/>
          <w:sz w:val="24"/>
          <w:szCs w:val="24"/>
        </w:rPr>
        <w:t xml:space="preserve">rant or program awards; </w:t>
      </w:r>
    </w:p>
    <w:p w14:paraId="0AB00ACF" w14:textId="37D222CD" w:rsidR="008954A4" w:rsidRDefault="008954A4" w:rsidP="006D659E">
      <w:pPr>
        <w:pStyle w:val="ListParagraph"/>
        <w:numPr>
          <w:ilvl w:val="1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807511">
        <w:rPr>
          <w:rFonts w:cstheme="minorHAnsi"/>
          <w:sz w:val="24"/>
          <w:szCs w:val="24"/>
        </w:rPr>
        <w:t xml:space="preserve">Evaluation of </w:t>
      </w:r>
      <w:r>
        <w:rPr>
          <w:rFonts w:cstheme="minorHAnsi"/>
          <w:sz w:val="24"/>
          <w:szCs w:val="24"/>
        </w:rPr>
        <w:t xml:space="preserve">proposed </w:t>
      </w:r>
      <w:r w:rsidRPr="00807511">
        <w:rPr>
          <w:rFonts w:cstheme="minorHAnsi"/>
          <w:sz w:val="24"/>
          <w:szCs w:val="24"/>
        </w:rPr>
        <w:t xml:space="preserve">budget expenses; </w:t>
      </w:r>
    </w:p>
    <w:p w14:paraId="138DF3F5" w14:textId="35BB15E0" w:rsidR="00DC7D3D" w:rsidRPr="00807511" w:rsidRDefault="00DC7D3D" w:rsidP="006D659E">
      <w:pPr>
        <w:pStyle w:val="ListParagraph"/>
        <w:numPr>
          <w:ilvl w:val="1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Affiliate fiscal </w:t>
      </w:r>
      <w:r w:rsidR="003611F1">
        <w:rPr>
          <w:rFonts w:cstheme="minorHAnsi"/>
          <w:sz w:val="24"/>
          <w:szCs w:val="24"/>
        </w:rPr>
        <w:t>need</w:t>
      </w:r>
      <w:r>
        <w:rPr>
          <w:rFonts w:cstheme="minorHAnsi"/>
          <w:sz w:val="24"/>
          <w:szCs w:val="24"/>
        </w:rPr>
        <w:t xml:space="preserve">; </w:t>
      </w:r>
    </w:p>
    <w:p w14:paraId="1E9B5E80" w14:textId="7FBF9B6F" w:rsidR="008954A4" w:rsidRPr="00FB1416" w:rsidRDefault="008954A4" w:rsidP="006D659E">
      <w:pPr>
        <w:pStyle w:val="ListParagraph"/>
        <w:numPr>
          <w:ilvl w:val="1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FB1416">
        <w:rPr>
          <w:rFonts w:cstheme="minorHAnsi"/>
          <w:sz w:val="24"/>
          <w:szCs w:val="24"/>
        </w:rPr>
        <w:t xml:space="preserve">Distribution of </w:t>
      </w:r>
      <w:r w:rsidR="00D309B2">
        <w:rPr>
          <w:rFonts w:cstheme="minorHAnsi"/>
          <w:sz w:val="24"/>
          <w:szCs w:val="24"/>
        </w:rPr>
        <w:t xml:space="preserve">funding </w:t>
      </w:r>
      <w:r w:rsidRPr="00FB1416">
        <w:rPr>
          <w:rFonts w:cstheme="minorHAnsi"/>
          <w:sz w:val="24"/>
          <w:szCs w:val="24"/>
        </w:rPr>
        <w:t>across Affiliates; and</w:t>
      </w:r>
    </w:p>
    <w:p w14:paraId="498509EC" w14:textId="77777777" w:rsidR="008954A4" w:rsidRDefault="008954A4" w:rsidP="006D659E">
      <w:pPr>
        <w:pStyle w:val="ListParagraph"/>
        <w:numPr>
          <w:ilvl w:val="1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07FF5">
        <w:rPr>
          <w:rFonts w:cstheme="minorHAnsi"/>
          <w:sz w:val="24"/>
          <w:szCs w:val="24"/>
        </w:rPr>
        <w:t>Available funds.</w:t>
      </w:r>
    </w:p>
    <w:p w14:paraId="0FDA9022" w14:textId="327D1934" w:rsidR="002A141C" w:rsidRDefault="0025687E" w:rsidP="006D659E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Proposals</w:t>
      </w:r>
      <w:r w:rsidR="00A25B8C" w:rsidRPr="00C52090">
        <w:rPr>
          <w:rFonts w:cstheme="minorHAnsi"/>
          <w:sz w:val="24"/>
          <w:szCs w:val="24"/>
        </w:rPr>
        <w:t xml:space="preserve"> </w:t>
      </w:r>
      <w:r w:rsidR="002A141C">
        <w:rPr>
          <w:rFonts w:cstheme="minorHAnsi"/>
          <w:sz w:val="24"/>
          <w:szCs w:val="24"/>
        </w:rPr>
        <w:t>r</w:t>
      </w:r>
      <w:r w:rsidR="006D76FE">
        <w:rPr>
          <w:rFonts w:cstheme="minorHAnsi"/>
          <w:sz w:val="24"/>
          <w:szCs w:val="24"/>
        </w:rPr>
        <w:t>ecommended</w:t>
      </w:r>
      <w:r w:rsidR="002A141C">
        <w:rPr>
          <w:rFonts w:cstheme="minorHAnsi"/>
          <w:sz w:val="24"/>
          <w:szCs w:val="24"/>
        </w:rPr>
        <w:t xml:space="preserve"> for funding </w:t>
      </w:r>
      <w:r w:rsidR="007878FC">
        <w:rPr>
          <w:rFonts w:cstheme="minorHAnsi"/>
          <w:sz w:val="24"/>
          <w:szCs w:val="24"/>
        </w:rPr>
        <w:t>are</w:t>
      </w:r>
      <w:r w:rsidR="00A25B8C" w:rsidRPr="00C52090">
        <w:rPr>
          <w:rFonts w:cstheme="minorHAnsi"/>
          <w:sz w:val="24"/>
          <w:szCs w:val="24"/>
        </w:rPr>
        <w:t xml:space="preserve"> submitted to the </w:t>
      </w:r>
      <w:r w:rsidR="002A141C">
        <w:rPr>
          <w:rFonts w:cstheme="minorHAnsi"/>
          <w:sz w:val="24"/>
          <w:szCs w:val="24"/>
        </w:rPr>
        <w:t>NEA President and NEA Executive Director, or designee</w:t>
      </w:r>
      <w:r>
        <w:rPr>
          <w:rFonts w:cstheme="minorHAnsi"/>
          <w:sz w:val="24"/>
          <w:szCs w:val="24"/>
        </w:rPr>
        <w:t>s</w:t>
      </w:r>
      <w:r w:rsidR="002A141C">
        <w:rPr>
          <w:rFonts w:cstheme="minorHAnsi"/>
          <w:sz w:val="24"/>
          <w:szCs w:val="24"/>
        </w:rPr>
        <w:t xml:space="preserve">, </w:t>
      </w:r>
      <w:r w:rsidR="00A25B8C" w:rsidRPr="00C52090">
        <w:rPr>
          <w:rFonts w:cstheme="minorHAnsi"/>
          <w:sz w:val="24"/>
          <w:szCs w:val="24"/>
        </w:rPr>
        <w:t>for review and</w:t>
      </w:r>
      <w:r w:rsidR="00A93EB8" w:rsidRPr="006F19A9">
        <w:rPr>
          <w:rFonts w:cstheme="minorHAnsi"/>
          <w:sz w:val="24"/>
          <w:szCs w:val="24"/>
        </w:rPr>
        <w:t xml:space="preserve"> </w:t>
      </w:r>
      <w:r w:rsidR="00275DDF" w:rsidRPr="006F19A9">
        <w:rPr>
          <w:rFonts w:cstheme="minorHAnsi"/>
          <w:sz w:val="24"/>
          <w:szCs w:val="24"/>
        </w:rPr>
        <w:t xml:space="preserve">consideration. </w:t>
      </w:r>
      <w:r w:rsidR="002A141C">
        <w:rPr>
          <w:rFonts w:cstheme="minorHAnsi"/>
          <w:sz w:val="24"/>
          <w:szCs w:val="24"/>
        </w:rPr>
        <w:t xml:space="preserve"> </w:t>
      </w:r>
    </w:p>
    <w:p w14:paraId="55EEB5E5" w14:textId="77777777" w:rsidR="00CC513F" w:rsidRPr="00867489" w:rsidRDefault="002A141C" w:rsidP="006D659E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867489">
        <w:rPr>
          <w:rFonts w:cstheme="minorHAnsi"/>
          <w:sz w:val="24"/>
          <w:szCs w:val="24"/>
        </w:rPr>
        <w:t xml:space="preserve">The NEA President and the NEA Executive Director, or designees, </w:t>
      </w:r>
      <w:r w:rsidR="007878FC" w:rsidRPr="00867489">
        <w:rPr>
          <w:rFonts w:cstheme="minorHAnsi"/>
          <w:sz w:val="24"/>
          <w:szCs w:val="24"/>
        </w:rPr>
        <w:t>may</w:t>
      </w:r>
      <w:r w:rsidRPr="00867489">
        <w:rPr>
          <w:rFonts w:cstheme="minorHAnsi"/>
          <w:sz w:val="24"/>
          <w:szCs w:val="24"/>
        </w:rPr>
        <w:t xml:space="preserve"> approve the recommendation, reduce the amount of funding recommended, or reject the recommendation.</w:t>
      </w:r>
    </w:p>
    <w:p w14:paraId="4ED82352" w14:textId="1CC8A487" w:rsidR="00A25B8C" w:rsidRPr="00867489" w:rsidRDefault="007878FC" w:rsidP="006D659E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867489">
        <w:rPr>
          <w:rFonts w:cstheme="minorHAnsi"/>
          <w:sz w:val="24"/>
          <w:szCs w:val="24"/>
        </w:rPr>
        <w:t>Funding decisions are final</w:t>
      </w:r>
      <w:r w:rsidR="00CC513F" w:rsidRPr="00867489">
        <w:rPr>
          <w:rFonts w:cstheme="minorHAnsi"/>
          <w:sz w:val="24"/>
          <w:szCs w:val="24"/>
        </w:rPr>
        <w:t>, but applicants may resubmit a revised application</w:t>
      </w:r>
      <w:r w:rsidRPr="00867489">
        <w:rPr>
          <w:rFonts w:cstheme="minorHAnsi"/>
          <w:sz w:val="24"/>
          <w:szCs w:val="24"/>
        </w:rPr>
        <w:t>.</w:t>
      </w:r>
    </w:p>
    <w:p w14:paraId="54CFD8C1" w14:textId="5834FB84" w:rsidR="002A141C" w:rsidRDefault="007D1E55" w:rsidP="006D659E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867489">
        <w:rPr>
          <w:rFonts w:cstheme="minorHAnsi"/>
          <w:sz w:val="24"/>
          <w:szCs w:val="24"/>
        </w:rPr>
        <w:t>Funding</w:t>
      </w:r>
      <w:r>
        <w:rPr>
          <w:rFonts w:cstheme="minorHAnsi"/>
          <w:sz w:val="24"/>
          <w:szCs w:val="24"/>
        </w:rPr>
        <w:t xml:space="preserve"> is for</w:t>
      </w:r>
      <w:r w:rsidR="006D76FE">
        <w:rPr>
          <w:rFonts w:cstheme="minorHAnsi"/>
          <w:sz w:val="24"/>
          <w:szCs w:val="24"/>
        </w:rPr>
        <w:t xml:space="preserve"> one</w:t>
      </w:r>
      <w:r>
        <w:rPr>
          <w:rFonts w:cstheme="minorHAnsi"/>
          <w:sz w:val="24"/>
          <w:szCs w:val="24"/>
        </w:rPr>
        <w:t xml:space="preserve"> </w:t>
      </w:r>
      <w:r w:rsidR="006D76FE">
        <w:rPr>
          <w:rFonts w:cstheme="minorHAnsi"/>
          <w:sz w:val="24"/>
          <w:szCs w:val="24"/>
        </w:rPr>
        <w:t xml:space="preserve">year </w:t>
      </w:r>
      <w:r w:rsidR="00A02E80">
        <w:rPr>
          <w:rFonts w:cstheme="minorHAnsi"/>
          <w:sz w:val="24"/>
          <w:szCs w:val="24"/>
        </w:rPr>
        <w:t xml:space="preserve">in term </w:t>
      </w:r>
      <w:r w:rsidR="006D76FE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will </w:t>
      </w:r>
      <w:r w:rsidR="006D76FE">
        <w:rPr>
          <w:rFonts w:cstheme="minorHAnsi"/>
          <w:sz w:val="24"/>
          <w:szCs w:val="24"/>
        </w:rPr>
        <w:t>t</w:t>
      </w:r>
      <w:r w:rsidR="002A141C">
        <w:rPr>
          <w:rFonts w:cstheme="minorHAnsi"/>
          <w:sz w:val="24"/>
          <w:szCs w:val="24"/>
        </w:rPr>
        <w:t xml:space="preserve">ypically range </w:t>
      </w:r>
      <w:r w:rsidR="006D76FE">
        <w:rPr>
          <w:rFonts w:cstheme="minorHAnsi"/>
          <w:sz w:val="24"/>
          <w:szCs w:val="24"/>
        </w:rPr>
        <w:t>from</w:t>
      </w:r>
      <w:r w:rsidR="002A141C">
        <w:rPr>
          <w:rFonts w:cstheme="minorHAnsi"/>
          <w:sz w:val="24"/>
          <w:szCs w:val="24"/>
        </w:rPr>
        <w:t xml:space="preserve"> $3,000 to $</w:t>
      </w:r>
      <w:r w:rsidR="008D1154">
        <w:rPr>
          <w:rFonts w:cstheme="minorHAnsi"/>
          <w:sz w:val="24"/>
          <w:szCs w:val="24"/>
        </w:rPr>
        <w:t>7</w:t>
      </w:r>
      <w:r w:rsidR="002A141C">
        <w:rPr>
          <w:rFonts w:cstheme="minorHAnsi"/>
          <w:sz w:val="24"/>
          <w:szCs w:val="24"/>
        </w:rPr>
        <w:t>5,000</w:t>
      </w:r>
      <w:r w:rsidR="008D1154">
        <w:rPr>
          <w:rFonts w:cstheme="minorHAnsi"/>
          <w:sz w:val="24"/>
          <w:szCs w:val="24"/>
        </w:rPr>
        <w:t xml:space="preserve"> depending on the number of members, students, or community members associated with the grant</w:t>
      </w:r>
      <w:r w:rsidR="002A141C">
        <w:rPr>
          <w:rFonts w:cstheme="minorHAnsi"/>
          <w:sz w:val="24"/>
          <w:szCs w:val="24"/>
        </w:rPr>
        <w:t>.</w:t>
      </w:r>
    </w:p>
    <w:p w14:paraId="44BB4765" w14:textId="5D2FA666" w:rsidR="008E1922" w:rsidRPr="006F19A9" w:rsidRDefault="00AA2F02" w:rsidP="006D659E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Affiliates </w:t>
      </w:r>
      <w:r w:rsidR="00ED1609">
        <w:rPr>
          <w:rFonts w:cstheme="minorHAnsi"/>
          <w:sz w:val="24"/>
          <w:szCs w:val="24"/>
        </w:rPr>
        <w:t xml:space="preserve">or Chapters </w:t>
      </w:r>
      <w:r>
        <w:rPr>
          <w:rFonts w:cstheme="minorHAnsi"/>
          <w:sz w:val="24"/>
          <w:szCs w:val="24"/>
        </w:rPr>
        <w:t>are</w:t>
      </w:r>
      <w:r w:rsidR="002A141C">
        <w:rPr>
          <w:rFonts w:cstheme="minorHAnsi"/>
          <w:sz w:val="24"/>
          <w:szCs w:val="24"/>
        </w:rPr>
        <w:t xml:space="preserve"> limited to one active </w:t>
      </w:r>
      <w:r w:rsidR="002B5C5E">
        <w:rPr>
          <w:rFonts w:cstheme="minorHAnsi"/>
          <w:sz w:val="24"/>
          <w:szCs w:val="24"/>
        </w:rPr>
        <w:t xml:space="preserve">Safe and Just Schools Partnership </w:t>
      </w:r>
      <w:r>
        <w:rPr>
          <w:rFonts w:cstheme="minorHAnsi"/>
          <w:sz w:val="24"/>
          <w:szCs w:val="24"/>
        </w:rPr>
        <w:t>Funding</w:t>
      </w:r>
      <w:r w:rsidR="00D309B2">
        <w:rPr>
          <w:rFonts w:cstheme="minorHAnsi"/>
          <w:sz w:val="24"/>
          <w:szCs w:val="24"/>
        </w:rPr>
        <w:t xml:space="preserve"> project</w:t>
      </w:r>
      <w:r w:rsidR="002A141C">
        <w:rPr>
          <w:rFonts w:cstheme="minorHAnsi"/>
          <w:sz w:val="24"/>
          <w:szCs w:val="24"/>
        </w:rPr>
        <w:t xml:space="preserve"> at a</w:t>
      </w:r>
      <w:r w:rsidR="007878FC">
        <w:rPr>
          <w:rFonts w:cstheme="minorHAnsi"/>
          <w:sz w:val="24"/>
          <w:szCs w:val="24"/>
        </w:rPr>
        <w:t>ny given</w:t>
      </w:r>
      <w:r w:rsidR="002A141C">
        <w:rPr>
          <w:rFonts w:cstheme="minorHAnsi"/>
          <w:sz w:val="24"/>
          <w:szCs w:val="24"/>
        </w:rPr>
        <w:t xml:space="preserve"> time.</w:t>
      </w:r>
    </w:p>
    <w:p w14:paraId="5FAEBB04" w14:textId="77777777" w:rsidR="00A25B8C" w:rsidRPr="00F00FBD" w:rsidRDefault="0025687E" w:rsidP="006D659E">
      <w:pPr>
        <w:pStyle w:val="ListParagraph"/>
        <w:numPr>
          <w:ilvl w:val="0"/>
          <w:numId w:val="16"/>
        </w:numPr>
        <w:spacing w:line="360" w:lineRule="auto"/>
      </w:pPr>
      <w:r>
        <w:rPr>
          <w:rFonts w:cstheme="minorHAnsi"/>
          <w:sz w:val="24"/>
          <w:szCs w:val="24"/>
        </w:rPr>
        <w:t>R</w:t>
      </w:r>
      <w:r w:rsidR="008E1922">
        <w:rPr>
          <w:rFonts w:cstheme="minorHAnsi"/>
          <w:sz w:val="24"/>
          <w:szCs w:val="24"/>
        </w:rPr>
        <w:t>evisions or amendments to these Guidelines are to be recommended by the NEA Budget Committee for consideration and approval by the NEA Executive Committee.</w:t>
      </w:r>
    </w:p>
    <w:p w14:paraId="4D4973AD" w14:textId="77777777" w:rsidR="003B0576" w:rsidRPr="00646B9F" w:rsidRDefault="003B0576" w:rsidP="00646B9F">
      <w:pPr>
        <w:spacing w:line="360" w:lineRule="auto"/>
        <w:jc w:val="center"/>
        <w:rPr>
          <w:rFonts w:cstheme="minorHAnsi"/>
          <w:b/>
          <w:sz w:val="24"/>
          <w:szCs w:val="24"/>
          <w:u w:val="thick"/>
        </w:rPr>
      </w:pPr>
      <w:r w:rsidRPr="00646B9F">
        <w:rPr>
          <w:rFonts w:cstheme="minorHAnsi"/>
          <w:b/>
          <w:sz w:val="24"/>
          <w:szCs w:val="24"/>
          <w:u w:val="thick"/>
        </w:rPr>
        <w:t>REQUIREMENTS FOR REPORTING</w:t>
      </w:r>
    </w:p>
    <w:p w14:paraId="15E78AEB" w14:textId="70B66F04" w:rsidR="000B7D48" w:rsidRPr="006D659E" w:rsidRDefault="000D4148" w:rsidP="006D659E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All funding recipients</w:t>
      </w:r>
      <w:r w:rsidRPr="00646B9F">
        <w:rPr>
          <w:rFonts w:cstheme="minorHAnsi"/>
          <w:sz w:val="24"/>
          <w:szCs w:val="24"/>
        </w:rPr>
        <w:t xml:space="preserve"> </w:t>
      </w:r>
      <w:r w:rsidR="00AA2F02">
        <w:rPr>
          <w:rFonts w:cstheme="minorHAnsi"/>
          <w:sz w:val="24"/>
          <w:szCs w:val="24"/>
        </w:rPr>
        <w:t xml:space="preserve">are </w:t>
      </w:r>
      <w:r w:rsidR="00EE681D" w:rsidRPr="00646B9F">
        <w:rPr>
          <w:rFonts w:cstheme="minorHAnsi"/>
          <w:sz w:val="24"/>
          <w:szCs w:val="24"/>
        </w:rPr>
        <w:t>expected to meet the guidelines described herein as well as to participate in a reporting process during and at the close of the funding cycle in order to adhere to NEA</w:t>
      </w:r>
      <w:r w:rsidR="00EC7A95" w:rsidRPr="00646B9F">
        <w:rPr>
          <w:rFonts w:cstheme="minorHAnsi"/>
          <w:sz w:val="24"/>
          <w:szCs w:val="24"/>
        </w:rPr>
        <w:t>’</w:t>
      </w:r>
      <w:r w:rsidR="000B2A3C" w:rsidRPr="00646B9F">
        <w:rPr>
          <w:rFonts w:cstheme="minorHAnsi"/>
          <w:sz w:val="24"/>
          <w:szCs w:val="24"/>
        </w:rPr>
        <w:t>s F</w:t>
      </w:r>
      <w:r w:rsidR="00EE681D" w:rsidRPr="00646B9F">
        <w:rPr>
          <w:rFonts w:cstheme="minorHAnsi"/>
          <w:sz w:val="24"/>
          <w:szCs w:val="24"/>
        </w:rPr>
        <w:t xml:space="preserve">inancial Standards as established by the Center for Business Operations. </w:t>
      </w:r>
      <w:r>
        <w:rPr>
          <w:rFonts w:cstheme="minorHAnsi"/>
          <w:sz w:val="24"/>
          <w:szCs w:val="24"/>
        </w:rPr>
        <w:t>Recipients</w:t>
      </w:r>
      <w:r w:rsidRPr="00646B9F">
        <w:rPr>
          <w:rFonts w:cstheme="minorHAnsi"/>
          <w:sz w:val="24"/>
          <w:szCs w:val="24"/>
        </w:rPr>
        <w:t xml:space="preserve"> </w:t>
      </w:r>
      <w:r w:rsidR="00EE681D" w:rsidRPr="00646B9F">
        <w:rPr>
          <w:rFonts w:cstheme="minorHAnsi"/>
          <w:sz w:val="24"/>
          <w:szCs w:val="24"/>
        </w:rPr>
        <w:t xml:space="preserve">are required to complete the interim and final </w:t>
      </w:r>
      <w:r w:rsidR="00AA2F02">
        <w:rPr>
          <w:rFonts w:cstheme="minorHAnsi"/>
          <w:sz w:val="24"/>
          <w:szCs w:val="24"/>
        </w:rPr>
        <w:t>progress</w:t>
      </w:r>
      <w:r w:rsidR="00AA2F02" w:rsidRPr="00646B9F">
        <w:rPr>
          <w:rFonts w:cstheme="minorHAnsi"/>
          <w:sz w:val="24"/>
          <w:szCs w:val="24"/>
        </w:rPr>
        <w:t xml:space="preserve"> </w:t>
      </w:r>
      <w:r w:rsidR="00EE681D" w:rsidRPr="00646B9F">
        <w:rPr>
          <w:rFonts w:cstheme="minorHAnsi"/>
          <w:sz w:val="24"/>
          <w:szCs w:val="24"/>
        </w:rPr>
        <w:t>repo</w:t>
      </w:r>
      <w:r w:rsidR="000B2A3C" w:rsidRPr="00F00FBD">
        <w:rPr>
          <w:rFonts w:cstheme="minorHAnsi"/>
          <w:sz w:val="24"/>
          <w:szCs w:val="24"/>
        </w:rPr>
        <w:t>r</w:t>
      </w:r>
      <w:r w:rsidR="00EE681D" w:rsidRPr="00F00FBD">
        <w:rPr>
          <w:rFonts w:cstheme="minorHAnsi"/>
          <w:sz w:val="24"/>
          <w:szCs w:val="24"/>
        </w:rPr>
        <w:t>ts as applicable, with a summary of program activities</w:t>
      </w:r>
      <w:r w:rsidR="0025687E">
        <w:rPr>
          <w:rFonts w:cstheme="minorHAnsi"/>
          <w:sz w:val="24"/>
          <w:szCs w:val="24"/>
        </w:rPr>
        <w:t xml:space="preserve"> attempted</w:t>
      </w:r>
      <w:r w:rsidR="00AA2F02">
        <w:rPr>
          <w:rFonts w:cstheme="minorHAnsi"/>
          <w:sz w:val="24"/>
          <w:szCs w:val="24"/>
        </w:rPr>
        <w:t>, resources created,</w:t>
      </w:r>
      <w:r w:rsidR="00EE681D" w:rsidRPr="00F00FBD">
        <w:rPr>
          <w:rFonts w:cstheme="minorHAnsi"/>
          <w:sz w:val="24"/>
          <w:szCs w:val="24"/>
        </w:rPr>
        <w:t xml:space="preserve"> success</w:t>
      </w:r>
      <w:r w:rsidR="00C6335B">
        <w:rPr>
          <w:rFonts w:cstheme="minorHAnsi"/>
          <w:sz w:val="24"/>
          <w:szCs w:val="24"/>
        </w:rPr>
        <w:t>es</w:t>
      </w:r>
      <w:r w:rsidR="0025687E">
        <w:rPr>
          <w:rFonts w:cstheme="minorHAnsi"/>
          <w:sz w:val="24"/>
          <w:szCs w:val="24"/>
        </w:rPr>
        <w:t xml:space="preserve"> and lessons-learned</w:t>
      </w:r>
      <w:r w:rsidR="00EE681D" w:rsidRPr="00F00FBD">
        <w:rPr>
          <w:rFonts w:cstheme="minorHAnsi"/>
          <w:sz w:val="24"/>
          <w:szCs w:val="24"/>
        </w:rPr>
        <w:t xml:space="preserve">, and to provide financial accounting </w:t>
      </w:r>
      <w:r w:rsidR="00F31F86">
        <w:rPr>
          <w:rFonts w:cstheme="minorHAnsi"/>
          <w:sz w:val="24"/>
          <w:szCs w:val="24"/>
        </w:rPr>
        <w:t>for</w:t>
      </w:r>
      <w:r w:rsidR="00F31F86" w:rsidRPr="00F00FBD">
        <w:rPr>
          <w:rFonts w:cstheme="minorHAnsi"/>
          <w:sz w:val="24"/>
          <w:szCs w:val="24"/>
        </w:rPr>
        <w:t xml:space="preserve"> </w:t>
      </w:r>
      <w:r w:rsidR="00EE681D" w:rsidRPr="00F00FBD">
        <w:rPr>
          <w:rFonts w:cstheme="minorHAnsi"/>
          <w:sz w:val="24"/>
          <w:szCs w:val="24"/>
        </w:rPr>
        <w:t xml:space="preserve">the life of the </w:t>
      </w:r>
      <w:r>
        <w:rPr>
          <w:rFonts w:cstheme="minorHAnsi"/>
          <w:sz w:val="24"/>
          <w:szCs w:val="24"/>
        </w:rPr>
        <w:t>funding</w:t>
      </w:r>
      <w:r w:rsidR="00EE681D" w:rsidRPr="00F00FBD">
        <w:rPr>
          <w:rFonts w:cstheme="minorHAnsi"/>
          <w:sz w:val="24"/>
          <w:szCs w:val="24"/>
        </w:rPr>
        <w:t>.</w:t>
      </w:r>
      <w:r w:rsidR="00373954" w:rsidRPr="006D659E">
        <w:rPr>
          <w:sz w:val="24"/>
          <w:szCs w:val="24"/>
        </w:rPr>
        <w:tab/>
      </w:r>
    </w:p>
    <w:sectPr w:rsidR="000B7D48" w:rsidRPr="006D659E" w:rsidSect="00EA4CC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820E" w14:textId="77777777" w:rsidR="00E15D9B" w:rsidRDefault="00E15D9B" w:rsidP="00335849">
      <w:pPr>
        <w:spacing w:after="0" w:line="240" w:lineRule="auto"/>
      </w:pPr>
      <w:r>
        <w:separator/>
      </w:r>
    </w:p>
  </w:endnote>
  <w:endnote w:type="continuationSeparator" w:id="0">
    <w:p w14:paraId="5507CE17" w14:textId="77777777" w:rsidR="00E15D9B" w:rsidRDefault="00E15D9B" w:rsidP="0033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7D22" w14:textId="77777777" w:rsidR="00B9002D" w:rsidRDefault="00B9002D" w:rsidP="00726F43">
    <w:pPr>
      <w:pStyle w:val="Footer"/>
      <w:pBdr>
        <w:bottom w:val="single" w:sz="12" w:space="1" w:color="auto"/>
      </w:pBdr>
      <w:rPr>
        <w:b/>
      </w:rPr>
    </w:pPr>
  </w:p>
  <w:p w14:paraId="2F9044A4" w14:textId="7FCB04F0" w:rsidR="00B9002D" w:rsidRPr="00726F43" w:rsidRDefault="00584F5E" w:rsidP="00726F43">
    <w:pPr>
      <w:pStyle w:val="Footer"/>
      <w:rPr>
        <w:b/>
      </w:rPr>
    </w:pPr>
    <w:r>
      <w:rPr>
        <w:b/>
      </w:rPr>
      <w:t>Safe a</w:t>
    </w:r>
    <w:r w:rsidRPr="00584F5E">
      <w:rPr>
        <w:b/>
      </w:rPr>
      <w:t>nd Just Schools Partnership Funding</w:t>
    </w:r>
    <w:r w:rsidRPr="00584F5E" w:rsidDel="00584F5E">
      <w:rPr>
        <w:b/>
      </w:rPr>
      <w:t xml:space="preserve"> </w:t>
    </w:r>
    <w:r w:rsidR="00B9002D" w:rsidRPr="00726F43">
      <w:rPr>
        <w:b/>
      </w:rPr>
      <w:t xml:space="preserve">Guidelines </w:t>
    </w:r>
    <w:r w:rsidR="00B9002D" w:rsidRPr="00726F43">
      <w:rPr>
        <w:b/>
      </w:rPr>
      <w:tab/>
    </w:r>
    <w:sdt>
      <w:sdtPr>
        <w:rPr>
          <w:b/>
        </w:rPr>
        <w:id w:val="-1399585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002D" w:rsidRPr="00726F43">
          <w:rPr>
            <w:b/>
          </w:rPr>
          <w:t xml:space="preserve">Page | </w:t>
        </w:r>
        <w:r w:rsidR="00B9002D" w:rsidRPr="00726F43">
          <w:rPr>
            <w:b/>
          </w:rPr>
          <w:fldChar w:fldCharType="begin"/>
        </w:r>
        <w:r w:rsidR="00B9002D" w:rsidRPr="00726F43">
          <w:rPr>
            <w:b/>
          </w:rPr>
          <w:instrText xml:space="preserve"> PAGE   \* MERGEFORMAT </w:instrText>
        </w:r>
        <w:r w:rsidR="00B9002D" w:rsidRPr="00726F43">
          <w:rPr>
            <w:b/>
          </w:rPr>
          <w:fldChar w:fldCharType="separate"/>
        </w:r>
        <w:r w:rsidR="00553A52">
          <w:rPr>
            <w:b/>
            <w:noProof/>
          </w:rPr>
          <w:t>1</w:t>
        </w:r>
        <w:r w:rsidR="00B9002D" w:rsidRPr="00726F43">
          <w:rPr>
            <w:b/>
            <w:noProof/>
          </w:rPr>
          <w:fldChar w:fldCharType="end"/>
        </w:r>
      </w:sdtContent>
    </w:sdt>
  </w:p>
  <w:p w14:paraId="4CA60AE5" w14:textId="77777777" w:rsidR="00B9002D" w:rsidRDefault="00B90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6706" w14:textId="77777777" w:rsidR="00E15D9B" w:rsidRDefault="00E15D9B" w:rsidP="00335849">
      <w:pPr>
        <w:spacing w:after="0" w:line="240" w:lineRule="auto"/>
      </w:pPr>
      <w:r>
        <w:separator/>
      </w:r>
    </w:p>
  </w:footnote>
  <w:footnote w:type="continuationSeparator" w:id="0">
    <w:p w14:paraId="24B8ED2F" w14:textId="77777777" w:rsidR="00E15D9B" w:rsidRDefault="00E15D9B" w:rsidP="0033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15F9" w14:textId="766C14F4" w:rsidR="00B9002D" w:rsidRDefault="00DC1468" w:rsidP="00FF5DC3">
    <w:pPr>
      <w:pStyle w:val="Header"/>
      <w:jc w:val="right"/>
    </w:pPr>
    <w:r>
      <w:rPr>
        <w:rFonts w:ascii="Times New Roman" w:hAnsi="Times New Roman" w:cs="Times New Roman"/>
        <w:sz w:val="16"/>
        <w:szCs w:val="16"/>
      </w:rPr>
      <w:t>September</w:t>
    </w:r>
    <w:r w:rsidR="00BB74E8">
      <w:rPr>
        <w:rFonts w:ascii="Times New Roman" w:hAnsi="Times New Roman" w:cs="Times New Roman"/>
        <w:sz w:val="16"/>
        <w:szCs w:val="16"/>
      </w:rPr>
      <w:t xml:space="preserve"> </w:t>
    </w:r>
    <w:r w:rsidR="00B9002D">
      <w:rPr>
        <w:rFonts w:ascii="Times New Roman" w:hAnsi="Times New Roman" w:cs="Times New Roman"/>
        <w:sz w:val="16"/>
        <w:szCs w:val="16"/>
      </w:rPr>
      <w:t>2020</w:t>
    </w:r>
  </w:p>
  <w:p w14:paraId="7155B9C3" w14:textId="77777777" w:rsidR="00B9002D" w:rsidRDefault="00B9002D" w:rsidP="00EA4CC8">
    <w:pPr>
      <w:pStyle w:val="Header"/>
      <w:tabs>
        <w:tab w:val="clear" w:pos="4680"/>
        <w:tab w:val="clear" w:pos="9360"/>
        <w:tab w:val="left" w:pos="26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B6E"/>
    <w:multiLevelType w:val="hybridMultilevel"/>
    <w:tmpl w:val="CBD68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20A0"/>
    <w:multiLevelType w:val="hybridMultilevel"/>
    <w:tmpl w:val="1D4C505A"/>
    <w:lvl w:ilvl="0" w:tplc="3DDEF5B8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13A71D90"/>
    <w:multiLevelType w:val="hybridMultilevel"/>
    <w:tmpl w:val="5F189DA0"/>
    <w:lvl w:ilvl="0" w:tplc="38B27516">
      <w:start w:val="9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5737F30"/>
    <w:multiLevelType w:val="hybridMultilevel"/>
    <w:tmpl w:val="B010EB98"/>
    <w:lvl w:ilvl="0" w:tplc="0BBCA384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7235AEC"/>
    <w:multiLevelType w:val="hybridMultilevel"/>
    <w:tmpl w:val="A53A3236"/>
    <w:lvl w:ilvl="0" w:tplc="0409000F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7B23E30"/>
    <w:multiLevelType w:val="hybridMultilevel"/>
    <w:tmpl w:val="DA605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521C"/>
    <w:multiLevelType w:val="hybridMultilevel"/>
    <w:tmpl w:val="6A26AF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0748"/>
    <w:multiLevelType w:val="hybridMultilevel"/>
    <w:tmpl w:val="199846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5234"/>
    <w:multiLevelType w:val="hybridMultilevel"/>
    <w:tmpl w:val="5C686F9C"/>
    <w:lvl w:ilvl="0" w:tplc="DE2862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EA09A1"/>
    <w:multiLevelType w:val="hybridMultilevel"/>
    <w:tmpl w:val="446C67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33BD"/>
    <w:multiLevelType w:val="hybridMultilevel"/>
    <w:tmpl w:val="4676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45D8"/>
    <w:multiLevelType w:val="hybridMultilevel"/>
    <w:tmpl w:val="507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354"/>
    <w:multiLevelType w:val="multilevel"/>
    <w:tmpl w:val="FB64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17382"/>
    <w:multiLevelType w:val="hybridMultilevel"/>
    <w:tmpl w:val="9E1C3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46AB"/>
    <w:multiLevelType w:val="hybridMultilevel"/>
    <w:tmpl w:val="B17EA50E"/>
    <w:lvl w:ilvl="0" w:tplc="7DFC959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7D361E"/>
    <w:multiLevelType w:val="hybridMultilevel"/>
    <w:tmpl w:val="C21AD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A5F89"/>
    <w:multiLevelType w:val="hybridMultilevel"/>
    <w:tmpl w:val="B7CA5C92"/>
    <w:lvl w:ilvl="0" w:tplc="0BBCA3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EBA"/>
    <w:multiLevelType w:val="hybridMultilevel"/>
    <w:tmpl w:val="66D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1092"/>
    <w:multiLevelType w:val="hybridMultilevel"/>
    <w:tmpl w:val="B10A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63E2E"/>
    <w:multiLevelType w:val="hybridMultilevel"/>
    <w:tmpl w:val="3BA4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22C7"/>
    <w:multiLevelType w:val="hybridMultilevel"/>
    <w:tmpl w:val="A87ACBC2"/>
    <w:lvl w:ilvl="0" w:tplc="0409001B">
      <w:start w:val="1"/>
      <w:numFmt w:val="lowerRoman"/>
      <w:lvlText w:val="%1."/>
      <w:lvlJc w:val="righ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F8F41A5"/>
    <w:multiLevelType w:val="hybridMultilevel"/>
    <w:tmpl w:val="2F260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749E8"/>
    <w:multiLevelType w:val="hybridMultilevel"/>
    <w:tmpl w:val="F57C5974"/>
    <w:lvl w:ilvl="0" w:tplc="0BBCA38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F914EB"/>
    <w:multiLevelType w:val="hybridMultilevel"/>
    <w:tmpl w:val="9BC8DF04"/>
    <w:lvl w:ilvl="0" w:tplc="39084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23ABD"/>
    <w:multiLevelType w:val="hybridMultilevel"/>
    <w:tmpl w:val="EC0E5C0A"/>
    <w:lvl w:ilvl="0" w:tplc="3DDEF5B8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632" w:hanging="180"/>
      </w:pPr>
    </w:lvl>
    <w:lvl w:ilvl="3" w:tplc="75D27DBC">
      <w:start w:val="2"/>
      <w:numFmt w:val="upperLetter"/>
      <w:lvlText w:val="%4."/>
      <w:lvlJc w:val="left"/>
      <w:pPr>
        <w:ind w:left="335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23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20"/>
  </w:num>
  <w:num w:numId="12">
    <w:abstractNumId w:val="9"/>
  </w:num>
  <w:num w:numId="13">
    <w:abstractNumId w:val="7"/>
  </w:num>
  <w:num w:numId="14">
    <w:abstractNumId w:val="16"/>
  </w:num>
  <w:num w:numId="15">
    <w:abstractNumId w:val="2"/>
  </w:num>
  <w:num w:numId="16">
    <w:abstractNumId w:val="0"/>
  </w:num>
  <w:num w:numId="17">
    <w:abstractNumId w:val="1"/>
  </w:num>
  <w:num w:numId="18">
    <w:abstractNumId w:val="24"/>
  </w:num>
  <w:num w:numId="19">
    <w:abstractNumId w:val="22"/>
  </w:num>
  <w:num w:numId="20">
    <w:abstractNumId w:val="11"/>
  </w:num>
  <w:num w:numId="21">
    <w:abstractNumId w:val="5"/>
  </w:num>
  <w:num w:numId="22">
    <w:abstractNumId w:val="21"/>
  </w:num>
  <w:num w:numId="23">
    <w:abstractNumId w:val="13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49"/>
    <w:rsid w:val="0000683D"/>
    <w:rsid w:val="000218F0"/>
    <w:rsid w:val="0002784C"/>
    <w:rsid w:val="00036C2D"/>
    <w:rsid w:val="000527FE"/>
    <w:rsid w:val="00061FC3"/>
    <w:rsid w:val="000731A5"/>
    <w:rsid w:val="00093AC7"/>
    <w:rsid w:val="000A4400"/>
    <w:rsid w:val="000B2A3C"/>
    <w:rsid w:val="000B7D48"/>
    <w:rsid w:val="000C2057"/>
    <w:rsid w:val="000D4148"/>
    <w:rsid w:val="000E1430"/>
    <w:rsid w:val="000E551F"/>
    <w:rsid w:val="000F056A"/>
    <w:rsid w:val="000F1121"/>
    <w:rsid w:val="00103206"/>
    <w:rsid w:val="00121733"/>
    <w:rsid w:val="001441ED"/>
    <w:rsid w:val="001548BD"/>
    <w:rsid w:val="00155AB1"/>
    <w:rsid w:val="001630C2"/>
    <w:rsid w:val="00166EBE"/>
    <w:rsid w:val="00167A75"/>
    <w:rsid w:val="001760E7"/>
    <w:rsid w:val="00180ACC"/>
    <w:rsid w:val="00195C0A"/>
    <w:rsid w:val="00197DF5"/>
    <w:rsid w:val="001B602A"/>
    <w:rsid w:val="001C307B"/>
    <w:rsid w:val="001D42D1"/>
    <w:rsid w:val="001F4FFF"/>
    <w:rsid w:val="001F66B8"/>
    <w:rsid w:val="00203641"/>
    <w:rsid w:val="00222399"/>
    <w:rsid w:val="00223140"/>
    <w:rsid w:val="0022325C"/>
    <w:rsid w:val="00224970"/>
    <w:rsid w:val="00226300"/>
    <w:rsid w:val="00230B82"/>
    <w:rsid w:val="00232F5A"/>
    <w:rsid w:val="00236EA7"/>
    <w:rsid w:val="002403FC"/>
    <w:rsid w:val="002535F1"/>
    <w:rsid w:val="0025687E"/>
    <w:rsid w:val="0026062E"/>
    <w:rsid w:val="002621F7"/>
    <w:rsid w:val="00275DDF"/>
    <w:rsid w:val="002975F4"/>
    <w:rsid w:val="002A141C"/>
    <w:rsid w:val="002B0748"/>
    <w:rsid w:val="002B5C5E"/>
    <w:rsid w:val="00301F94"/>
    <w:rsid w:val="0030436E"/>
    <w:rsid w:val="0031485C"/>
    <w:rsid w:val="00314F15"/>
    <w:rsid w:val="0032103D"/>
    <w:rsid w:val="00322A7C"/>
    <w:rsid w:val="00335849"/>
    <w:rsid w:val="003611F1"/>
    <w:rsid w:val="00372B7D"/>
    <w:rsid w:val="00373954"/>
    <w:rsid w:val="00377836"/>
    <w:rsid w:val="0038063F"/>
    <w:rsid w:val="00391BD6"/>
    <w:rsid w:val="00397136"/>
    <w:rsid w:val="003B0576"/>
    <w:rsid w:val="003B5CFA"/>
    <w:rsid w:val="003C396C"/>
    <w:rsid w:val="003C46B1"/>
    <w:rsid w:val="003C56D8"/>
    <w:rsid w:val="00402800"/>
    <w:rsid w:val="004028B0"/>
    <w:rsid w:val="0043029B"/>
    <w:rsid w:val="0044172A"/>
    <w:rsid w:val="00443DCC"/>
    <w:rsid w:val="004478B8"/>
    <w:rsid w:val="00452389"/>
    <w:rsid w:val="00456A23"/>
    <w:rsid w:val="004729DF"/>
    <w:rsid w:val="00483CD3"/>
    <w:rsid w:val="004900FB"/>
    <w:rsid w:val="00490F9A"/>
    <w:rsid w:val="004A16CA"/>
    <w:rsid w:val="004C1984"/>
    <w:rsid w:val="004D27D5"/>
    <w:rsid w:val="004D5D61"/>
    <w:rsid w:val="00510595"/>
    <w:rsid w:val="00511849"/>
    <w:rsid w:val="00522B2C"/>
    <w:rsid w:val="00526849"/>
    <w:rsid w:val="00532B59"/>
    <w:rsid w:val="0053441C"/>
    <w:rsid w:val="00536BF7"/>
    <w:rsid w:val="005372A9"/>
    <w:rsid w:val="00546A66"/>
    <w:rsid w:val="00553A52"/>
    <w:rsid w:val="005700A5"/>
    <w:rsid w:val="0057256F"/>
    <w:rsid w:val="00572F26"/>
    <w:rsid w:val="00577CA9"/>
    <w:rsid w:val="00584F5E"/>
    <w:rsid w:val="005871A3"/>
    <w:rsid w:val="00597090"/>
    <w:rsid w:val="005C5AA2"/>
    <w:rsid w:val="005F3FFE"/>
    <w:rsid w:val="00634322"/>
    <w:rsid w:val="00646B9F"/>
    <w:rsid w:val="0066044E"/>
    <w:rsid w:val="006668EE"/>
    <w:rsid w:val="00670701"/>
    <w:rsid w:val="00676094"/>
    <w:rsid w:val="006810F2"/>
    <w:rsid w:val="006A6DA3"/>
    <w:rsid w:val="006A7D39"/>
    <w:rsid w:val="006B3626"/>
    <w:rsid w:val="006C64FE"/>
    <w:rsid w:val="006D659E"/>
    <w:rsid w:val="006D76FE"/>
    <w:rsid w:val="006D7D43"/>
    <w:rsid w:val="006E0F1B"/>
    <w:rsid w:val="006E3546"/>
    <w:rsid w:val="006F19A9"/>
    <w:rsid w:val="00726F43"/>
    <w:rsid w:val="0078264E"/>
    <w:rsid w:val="00783EF4"/>
    <w:rsid w:val="007878FC"/>
    <w:rsid w:val="007A07D7"/>
    <w:rsid w:val="007D1E55"/>
    <w:rsid w:val="007E15A0"/>
    <w:rsid w:val="007E1698"/>
    <w:rsid w:val="007E6523"/>
    <w:rsid w:val="007F564A"/>
    <w:rsid w:val="00804F54"/>
    <w:rsid w:val="00807511"/>
    <w:rsid w:val="00812E0D"/>
    <w:rsid w:val="00817691"/>
    <w:rsid w:val="00820636"/>
    <w:rsid w:val="008217FB"/>
    <w:rsid w:val="00835475"/>
    <w:rsid w:val="00863D78"/>
    <w:rsid w:val="008645A0"/>
    <w:rsid w:val="00867489"/>
    <w:rsid w:val="008954A4"/>
    <w:rsid w:val="008955FA"/>
    <w:rsid w:val="008A1CAB"/>
    <w:rsid w:val="008A6338"/>
    <w:rsid w:val="008C1BFA"/>
    <w:rsid w:val="008C31EB"/>
    <w:rsid w:val="008D07B2"/>
    <w:rsid w:val="008D1154"/>
    <w:rsid w:val="008D1C1B"/>
    <w:rsid w:val="008E1922"/>
    <w:rsid w:val="008E2D2A"/>
    <w:rsid w:val="008E3484"/>
    <w:rsid w:val="008F5BBF"/>
    <w:rsid w:val="00905B99"/>
    <w:rsid w:val="00917E23"/>
    <w:rsid w:val="0092766B"/>
    <w:rsid w:val="00934DD8"/>
    <w:rsid w:val="00960F76"/>
    <w:rsid w:val="00961E5A"/>
    <w:rsid w:val="00964BBF"/>
    <w:rsid w:val="0096558F"/>
    <w:rsid w:val="00966D14"/>
    <w:rsid w:val="00967F8C"/>
    <w:rsid w:val="00981EC6"/>
    <w:rsid w:val="009C2C73"/>
    <w:rsid w:val="009C6702"/>
    <w:rsid w:val="009D4C44"/>
    <w:rsid w:val="009F1696"/>
    <w:rsid w:val="00A01996"/>
    <w:rsid w:val="00A02E80"/>
    <w:rsid w:val="00A06E2E"/>
    <w:rsid w:val="00A0702B"/>
    <w:rsid w:val="00A245C0"/>
    <w:rsid w:val="00A25B8C"/>
    <w:rsid w:val="00A27A6E"/>
    <w:rsid w:val="00A54BC4"/>
    <w:rsid w:val="00A57DBD"/>
    <w:rsid w:val="00A679EC"/>
    <w:rsid w:val="00A86DE6"/>
    <w:rsid w:val="00A93AB8"/>
    <w:rsid w:val="00A93EB8"/>
    <w:rsid w:val="00A9581D"/>
    <w:rsid w:val="00A96607"/>
    <w:rsid w:val="00AA2F02"/>
    <w:rsid w:val="00AA6F86"/>
    <w:rsid w:val="00AA74DB"/>
    <w:rsid w:val="00AB22BE"/>
    <w:rsid w:val="00AC7BAA"/>
    <w:rsid w:val="00AE2065"/>
    <w:rsid w:val="00AE7572"/>
    <w:rsid w:val="00AF4D58"/>
    <w:rsid w:val="00AF6A90"/>
    <w:rsid w:val="00B076F2"/>
    <w:rsid w:val="00B07FF5"/>
    <w:rsid w:val="00B20458"/>
    <w:rsid w:val="00B2367F"/>
    <w:rsid w:val="00B319DC"/>
    <w:rsid w:val="00B52362"/>
    <w:rsid w:val="00B80D1A"/>
    <w:rsid w:val="00B837FC"/>
    <w:rsid w:val="00B9002D"/>
    <w:rsid w:val="00B940A1"/>
    <w:rsid w:val="00BA3E49"/>
    <w:rsid w:val="00BB74E8"/>
    <w:rsid w:val="00BC1896"/>
    <w:rsid w:val="00BD210B"/>
    <w:rsid w:val="00BD2B55"/>
    <w:rsid w:val="00BD511C"/>
    <w:rsid w:val="00BE39C8"/>
    <w:rsid w:val="00BF2CC9"/>
    <w:rsid w:val="00C04ABF"/>
    <w:rsid w:val="00C07048"/>
    <w:rsid w:val="00C074FC"/>
    <w:rsid w:val="00C2356F"/>
    <w:rsid w:val="00C3583E"/>
    <w:rsid w:val="00C408F7"/>
    <w:rsid w:val="00C43C1D"/>
    <w:rsid w:val="00C52090"/>
    <w:rsid w:val="00C6335B"/>
    <w:rsid w:val="00C64AE4"/>
    <w:rsid w:val="00C65D24"/>
    <w:rsid w:val="00C72D27"/>
    <w:rsid w:val="00C73B02"/>
    <w:rsid w:val="00C75E34"/>
    <w:rsid w:val="00C96657"/>
    <w:rsid w:val="00CA320D"/>
    <w:rsid w:val="00CA69FC"/>
    <w:rsid w:val="00CC513F"/>
    <w:rsid w:val="00CD7C13"/>
    <w:rsid w:val="00CF6BFF"/>
    <w:rsid w:val="00D01C7A"/>
    <w:rsid w:val="00D13CD2"/>
    <w:rsid w:val="00D265F8"/>
    <w:rsid w:val="00D309B2"/>
    <w:rsid w:val="00D30A10"/>
    <w:rsid w:val="00D33F0F"/>
    <w:rsid w:val="00D3509B"/>
    <w:rsid w:val="00D506E8"/>
    <w:rsid w:val="00D5265C"/>
    <w:rsid w:val="00D72295"/>
    <w:rsid w:val="00D91150"/>
    <w:rsid w:val="00DB1E13"/>
    <w:rsid w:val="00DC1468"/>
    <w:rsid w:val="00DC1EF4"/>
    <w:rsid w:val="00DC44EA"/>
    <w:rsid w:val="00DC756A"/>
    <w:rsid w:val="00DC7D3D"/>
    <w:rsid w:val="00DD41A2"/>
    <w:rsid w:val="00DF41E2"/>
    <w:rsid w:val="00DF76C4"/>
    <w:rsid w:val="00DF7A68"/>
    <w:rsid w:val="00E11048"/>
    <w:rsid w:val="00E15D9B"/>
    <w:rsid w:val="00E218F1"/>
    <w:rsid w:val="00E27854"/>
    <w:rsid w:val="00E60767"/>
    <w:rsid w:val="00E70EFF"/>
    <w:rsid w:val="00E753A0"/>
    <w:rsid w:val="00E8196C"/>
    <w:rsid w:val="00E81FBB"/>
    <w:rsid w:val="00E9203C"/>
    <w:rsid w:val="00EA3FE3"/>
    <w:rsid w:val="00EA4CC8"/>
    <w:rsid w:val="00EC3A3B"/>
    <w:rsid w:val="00EC7398"/>
    <w:rsid w:val="00EC7A95"/>
    <w:rsid w:val="00ED1609"/>
    <w:rsid w:val="00ED40EF"/>
    <w:rsid w:val="00ED7648"/>
    <w:rsid w:val="00EE59F0"/>
    <w:rsid w:val="00EE681D"/>
    <w:rsid w:val="00F00FBD"/>
    <w:rsid w:val="00F0597B"/>
    <w:rsid w:val="00F10993"/>
    <w:rsid w:val="00F152C0"/>
    <w:rsid w:val="00F152F0"/>
    <w:rsid w:val="00F26E80"/>
    <w:rsid w:val="00F272A4"/>
    <w:rsid w:val="00F31F86"/>
    <w:rsid w:val="00F65733"/>
    <w:rsid w:val="00F75B8A"/>
    <w:rsid w:val="00FA0E2D"/>
    <w:rsid w:val="00FA1D5D"/>
    <w:rsid w:val="00FB1416"/>
    <w:rsid w:val="00FB6239"/>
    <w:rsid w:val="00FC4022"/>
    <w:rsid w:val="00FD0316"/>
    <w:rsid w:val="00FD082E"/>
    <w:rsid w:val="00FE0AE1"/>
    <w:rsid w:val="00FE13A0"/>
    <w:rsid w:val="00FF4BD0"/>
    <w:rsid w:val="00FF5D8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93B04"/>
  <w15:chartTrackingRefBased/>
  <w15:docId w15:val="{FEBCC755-8125-466D-AD2C-0EB57E8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49"/>
  </w:style>
  <w:style w:type="paragraph" w:styleId="Footer">
    <w:name w:val="footer"/>
    <w:basedOn w:val="Normal"/>
    <w:link w:val="FooterChar"/>
    <w:uiPriority w:val="99"/>
    <w:unhideWhenUsed/>
    <w:rsid w:val="0033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49"/>
  </w:style>
  <w:style w:type="paragraph" w:styleId="BalloonText">
    <w:name w:val="Balloon Text"/>
    <w:basedOn w:val="Normal"/>
    <w:link w:val="BalloonTextChar"/>
    <w:uiPriority w:val="99"/>
    <w:semiHidden/>
    <w:unhideWhenUsed/>
    <w:rsid w:val="0089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C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3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D78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F9A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6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NEA Grate Public School Fund Grant Guidelines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BE4E6-59A9-4424-A9AF-0F93BF26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 GREAT PUBLIC SCHOOLS FUND GRANT GUIDELINES</vt:lpstr>
    </vt:vector>
  </TitlesOfParts>
  <Manager>Evette Brown</Manager>
  <Company>NEA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 GREAT PUBLIC SCHOOLS FUND GRANT GUIDELINES</dc:title>
  <dc:subject>GRANTS</dc:subject>
  <dc:creator>Contreras, Kevin [NEA]</dc:creator>
  <cp:keywords/>
  <dc:description/>
  <cp:lastModifiedBy>Wright, John [NEA]</cp:lastModifiedBy>
  <cp:revision>2</cp:revision>
  <cp:lastPrinted>2019-12-20T14:34:00Z</cp:lastPrinted>
  <dcterms:created xsi:type="dcterms:W3CDTF">2020-09-24T22:48:00Z</dcterms:created>
  <dcterms:modified xsi:type="dcterms:W3CDTF">2020-09-24T22:48:00Z</dcterms:modified>
</cp:coreProperties>
</file>