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65" w:rsidRPr="009D7FE7" w:rsidRDefault="00753F65" w:rsidP="00933F7B">
      <w:pPr>
        <w:pStyle w:val="Default"/>
        <w:spacing w:line="252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D7FE7">
        <w:rPr>
          <w:rFonts w:ascii="Times New Roman" w:hAnsi="Times New Roman" w:cs="Times New Roman"/>
          <w:b/>
          <w:bCs/>
          <w:sz w:val="22"/>
          <w:szCs w:val="22"/>
        </w:rPr>
        <w:t>Purpose</w:t>
      </w:r>
      <w:r w:rsidR="0001329C">
        <w:rPr>
          <w:rFonts w:ascii="Times New Roman" w:hAnsi="Times New Roman" w:cs="Times New Roman"/>
          <w:b/>
          <w:bCs/>
          <w:sz w:val="22"/>
          <w:szCs w:val="22"/>
        </w:rPr>
        <w:t xml:space="preserve"> &amp; Topics</w:t>
      </w:r>
      <w:r w:rsidRPr="009D7FE7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F64A3A" w:rsidRPr="009D7FE7" w:rsidRDefault="00F64A3A" w:rsidP="00933F7B">
      <w:pPr>
        <w:pStyle w:val="Default"/>
        <w:spacing w:line="252" w:lineRule="auto"/>
        <w:rPr>
          <w:sz w:val="22"/>
          <w:szCs w:val="22"/>
        </w:rPr>
      </w:pPr>
    </w:p>
    <w:p w:rsidR="00F94655" w:rsidRDefault="00753F65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D7FE7">
        <w:rPr>
          <w:rFonts w:ascii="Times New Roman" w:hAnsi="Times New Roman" w:cs="Times New Roman"/>
          <w:sz w:val="22"/>
          <w:szCs w:val="22"/>
        </w:rPr>
        <w:t xml:space="preserve">The National Education Association (NEA) announces </w:t>
      </w:r>
      <w:r w:rsidR="001B4DA1" w:rsidRPr="001B4DA1">
        <w:rPr>
          <w:rFonts w:ascii="Times New Roman" w:hAnsi="Times New Roman" w:cs="Times New Roman"/>
          <w:sz w:val="22"/>
          <w:szCs w:val="22"/>
        </w:rPr>
        <w:t>the availability of Professional Excellence &amp; Student Learning State &amp; Local Project Grants for Affiliates to develop and support</w:t>
      </w:r>
      <w:r w:rsidR="001B4DA1">
        <w:rPr>
          <w:rFonts w:ascii="Times New Roman" w:hAnsi="Times New Roman" w:cs="Times New Roman"/>
          <w:sz w:val="22"/>
          <w:szCs w:val="22"/>
        </w:rPr>
        <w:t xml:space="preserve"> </w:t>
      </w:r>
      <w:r w:rsidRPr="009D7FE7">
        <w:rPr>
          <w:rFonts w:ascii="Times New Roman" w:hAnsi="Times New Roman" w:cs="Times New Roman"/>
          <w:sz w:val="22"/>
          <w:szCs w:val="22"/>
        </w:rPr>
        <w:t>practice</w:t>
      </w:r>
      <w:r w:rsidR="006842FB">
        <w:rPr>
          <w:rFonts w:ascii="Times New Roman" w:hAnsi="Times New Roman" w:cs="Times New Roman"/>
          <w:sz w:val="22"/>
          <w:szCs w:val="22"/>
        </w:rPr>
        <w:t>s</w:t>
      </w:r>
      <w:r w:rsidRPr="009D7FE7">
        <w:rPr>
          <w:rFonts w:ascii="Times New Roman" w:hAnsi="Times New Roman" w:cs="Times New Roman"/>
          <w:sz w:val="22"/>
          <w:szCs w:val="22"/>
        </w:rPr>
        <w:t xml:space="preserve"> </w:t>
      </w:r>
      <w:r w:rsidR="006842FB">
        <w:rPr>
          <w:rFonts w:ascii="Times New Roman" w:hAnsi="Times New Roman" w:cs="Times New Roman"/>
          <w:sz w:val="22"/>
          <w:szCs w:val="22"/>
        </w:rPr>
        <w:t xml:space="preserve">and resources </w:t>
      </w:r>
      <w:r w:rsidRPr="009D7FE7">
        <w:rPr>
          <w:rFonts w:ascii="Times New Roman" w:hAnsi="Times New Roman" w:cs="Times New Roman"/>
          <w:sz w:val="22"/>
          <w:szCs w:val="22"/>
        </w:rPr>
        <w:t xml:space="preserve">that </w:t>
      </w:r>
      <w:r w:rsidR="006842FB">
        <w:rPr>
          <w:rFonts w:ascii="Times New Roman" w:hAnsi="Times New Roman" w:cs="Times New Roman"/>
          <w:sz w:val="22"/>
          <w:szCs w:val="22"/>
        </w:rPr>
        <w:t>promote</w:t>
      </w:r>
      <w:r w:rsidRPr="009D7FE7">
        <w:rPr>
          <w:rFonts w:ascii="Times New Roman" w:hAnsi="Times New Roman" w:cs="Times New Roman"/>
          <w:sz w:val="22"/>
          <w:szCs w:val="22"/>
        </w:rPr>
        <w:t xml:space="preserve"> a quality education profession; </w:t>
      </w:r>
      <w:r w:rsidR="006842FB">
        <w:rPr>
          <w:rFonts w:ascii="Times New Roman" w:hAnsi="Times New Roman" w:cs="Times New Roman"/>
          <w:sz w:val="22"/>
          <w:szCs w:val="22"/>
        </w:rPr>
        <w:t xml:space="preserve">that </w:t>
      </w:r>
      <w:r w:rsidRPr="009D7FE7">
        <w:rPr>
          <w:rFonts w:ascii="Times New Roman" w:hAnsi="Times New Roman" w:cs="Times New Roman"/>
          <w:sz w:val="22"/>
          <w:szCs w:val="22"/>
        </w:rPr>
        <w:t>incubate sound practice</w:t>
      </w:r>
      <w:r w:rsidR="006842FB">
        <w:rPr>
          <w:rFonts w:ascii="Times New Roman" w:hAnsi="Times New Roman" w:cs="Times New Roman"/>
          <w:sz w:val="22"/>
          <w:szCs w:val="22"/>
        </w:rPr>
        <w:t>s</w:t>
      </w:r>
      <w:r w:rsidRPr="009D7FE7">
        <w:rPr>
          <w:rFonts w:ascii="Times New Roman" w:hAnsi="Times New Roman" w:cs="Times New Roman"/>
          <w:sz w:val="22"/>
          <w:szCs w:val="22"/>
        </w:rPr>
        <w:t xml:space="preserve"> and gather key learning</w:t>
      </w:r>
      <w:r w:rsidR="00595FAE">
        <w:rPr>
          <w:rFonts w:ascii="Times New Roman" w:hAnsi="Times New Roman" w:cs="Times New Roman"/>
          <w:sz w:val="22"/>
          <w:szCs w:val="22"/>
        </w:rPr>
        <w:t>s that aid</w:t>
      </w:r>
      <w:r w:rsidRPr="009D7FE7">
        <w:rPr>
          <w:rFonts w:ascii="Times New Roman" w:hAnsi="Times New Roman" w:cs="Times New Roman"/>
          <w:sz w:val="22"/>
          <w:szCs w:val="22"/>
        </w:rPr>
        <w:t xml:space="preserve"> student </w:t>
      </w:r>
      <w:r w:rsidR="00595FAE">
        <w:rPr>
          <w:rFonts w:ascii="Times New Roman" w:hAnsi="Times New Roman" w:cs="Times New Roman"/>
          <w:sz w:val="22"/>
          <w:szCs w:val="22"/>
        </w:rPr>
        <w:t>success</w:t>
      </w:r>
      <w:r w:rsidRPr="009D7FE7">
        <w:rPr>
          <w:rFonts w:ascii="Times New Roman" w:hAnsi="Times New Roman" w:cs="Times New Roman"/>
          <w:sz w:val="22"/>
          <w:szCs w:val="22"/>
        </w:rPr>
        <w:t xml:space="preserve">; and </w:t>
      </w:r>
      <w:r w:rsidR="006842FB">
        <w:rPr>
          <w:rFonts w:ascii="Times New Roman" w:hAnsi="Times New Roman" w:cs="Times New Roman"/>
          <w:sz w:val="22"/>
          <w:szCs w:val="22"/>
        </w:rPr>
        <w:t>that promote a system that establishes the value of a quality, professionalized educator workforce and the role of the Association in creating and sustaining a sy</w:t>
      </w:r>
      <w:r w:rsidR="0062021D">
        <w:rPr>
          <w:rFonts w:ascii="Times New Roman" w:hAnsi="Times New Roman" w:cs="Times New Roman"/>
          <w:sz w:val="22"/>
          <w:szCs w:val="22"/>
        </w:rPr>
        <w:t>s</w:t>
      </w:r>
      <w:r w:rsidR="006842FB">
        <w:rPr>
          <w:rFonts w:ascii="Times New Roman" w:hAnsi="Times New Roman" w:cs="Times New Roman"/>
          <w:sz w:val="22"/>
          <w:szCs w:val="22"/>
        </w:rPr>
        <w:t>tem of professional supports.</w:t>
      </w:r>
      <w:proofErr w:type="gramEnd"/>
      <w:r w:rsidRPr="009667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4655" w:rsidRDefault="00F94655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53F65" w:rsidRPr="009667FC" w:rsidRDefault="00F94655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</w:t>
      </w:r>
      <w:r w:rsidR="00C5519D">
        <w:rPr>
          <w:rFonts w:ascii="Times New Roman" w:hAnsi="Times New Roman" w:cs="Times New Roman"/>
          <w:sz w:val="22"/>
          <w:szCs w:val="22"/>
        </w:rPr>
        <w:t xml:space="preserve">s, which are typically 1-year </w:t>
      </w:r>
      <w:r w:rsidR="00F738C0">
        <w:rPr>
          <w:rFonts w:ascii="Times New Roman" w:hAnsi="Times New Roman" w:cs="Times New Roman"/>
          <w:sz w:val="22"/>
          <w:szCs w:val="22"/>
        </w:rPr>
        <w:t xml:space="preserve">in length </w:t>
      </w:r>
      <w:r w:rsidR="00C5519D">
        <w:rPr>
          <w:rFonts w:ascii="Times New Roman" w:hAnsi="Times New Roman" w:cs="Times New Roman"/>
          <w:sz w:val="22"/>
          <w:szCs w:val="22"/>
        </w:rPr>
        <w:t>and range from $3,000 to $25,000,</w:t>
      </w:r>
      <w:r>
        <w:rPr>
          <w:rFonts w:ascii="Times New Roman" w:hAnsi="Times New Roman" w:cs="Times New Roman"/>
          <w:sz w:val="22"/>
          <w:szCs w:val="22"/>
        </w:rPr>
        <w:t xml:space="preserve"> focus on </w:t>
      </w:r>
      <w:r w:rsidR="0062021D">
        <w:rPr>
          <w:rFonts w:ascii="Times New Roman" w:hAnsi="Times New Roman" w:cs="Times New Roman"/>
          <w:sz w:val="22"/>
          <w:szCs w:val="22"/>
        </w:rPr>
        <w:t>the following two</w:t>
      </w:r>
      <w:r w:rsidR="0062021D" w:rsidRPr="009667FC">
        <w:rPr>
          <w:rFonts w:ascii="Times New Roman" w:hAnsi="Times New Roman" w:cs="Times New Roman"/>
          <w:sz w:val="22"/>
          <w:szCs w:val="22"/>
        </w:rPr>
        <w:t xml:space="preserve"> </w:t>
      </w:r>
      <w:r w:rsidR="00753F65" w:rsidRPr="009667FC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>ey education profession levers</w:t>
      </w:r>
      <w:r w:rsidR="00753F65" w:rsidRPr="009667F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64A3A" w:rsidRPr="009667FC" w:rsidRDefault="00F64A3A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64A3A" w:rsidRPr="009667FC" w:rsidRDefault="003235C9" w:rsidP="00933F7B">
      <w:pPr>
        <w:pStyle w:val="Default"/>
        <w:numPr>
          <w:ilvl w:val="0"/>
          <w:numId w:val="1"/>
        </w:numPr>
        <w:spacing w:after="240"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Family/Community Partnerships</w:t>
      </w:r>
      <w:r w:rsidR="00753F65" w:rsidRPr="009667FC">
        <w:rPr>
          <w:rFonts w:ascii="Times New Roman" w:hAnsi="Times New Roman" w:cs="Times New Roman"/>
          <w:sz w:val="22"/>
          <w:szCs w:val="22"/>
        </w:rPr>
        <w:t xml:space="preserve">: </w:t>
      </w:r>
      <w:r w:rsidR="009667FC" w:rsidRPr="009667FC">
        <w:rPr>
          <w:rFonts w:ascii="Times New Roman" w:hAnsi="Times New Roman" w:cs="Times New Roman"/>
          <w:sz w:val="22"/>
          <w:szCs w:val="22"/>
        </w:rPr>
        <w:t xml:space="preserve"> The</w:t>
      </w:r>
      <w:r w:rsidR="0022432A">
        <w:rPr>
          <w:rFonts w:ascii="Times New Roman" w:hAnsi="Times New Roman" w:cs="Times New Roman"/>
          <w:sz w:val="22"/>
          <w:szCs w:val="22"/>
        </w:rPr>
        <w:t>se</w:t>
      </w:r>
      <w:r w:rsidR="009667FC" w:rsidRPr="009667FC">
        <w:rPr>
          <w:rFonts w:ascii="Times New Roman" w:hAnsi="Times New Roman" w:cs="Times New Roman"/>
          <w:sz w:val="22"/>
          <w:szCs w:val="22"/>
        </w:rPr>
        <w:t xml:space="preserve"> grants </w:t>
      </w:r>
      <w:proofErr w:type="gramStart"/>
      <w:r w:rsidR="009667FC" w:rsidRPr="009667FC">
        <w:rPr>
          <w:rFonts w:ascii="Times New Roman" w:hAnsi="Times New Roman" w:cs="Times New Roman"/>
          <w:sz w:val="22"/>
          <w:szCs w:val="22"/>
        </w:rPr>
        <w:t>are designed</w:t>
      </w:r>
      <w:proofErr w:type="gramEnd"/>
      <w:r w:rsidR="009667FC" w:rsidRPr="009667FC">
        <w:rPr>
          <w:rFonts w:ascii="Times New Roman" w:hAnsi="Times New Roman" w:cs="Times New Roman"/>
          <w:sz w:val="22"/>
          <w:szCs w:val="22"/>
        </w:rPr>
        <w:t xml:space="preserve"> to develop, implement, or support programs that engage communities in improving the educational attainment </w:t>
      </w:r>
      <w:r w:rsidR="006842FB">
        <w:rPr>
          <w:rFonts w:ascii="Times New Roman" w:hAnsi="Times New Roman" w:cs="Times New Roman"/>
          <w:sz w:val="22"/>
          <w:szCs w:val="22"/>
        </w:rPr>
        <w:t xml:space="preserve">and success </w:t>
      </w:r>
      <w:r w:rsidR="009667FC" w:rsidRPr="009667FC">
        <w:rPr>
          <w:rFonts w:ascii="Times New Roman" w:hAnsi="Times New Roman" w:cs="Times New Roman"/>
          <w:sz w:val="22"/>
          <w:szCs w:val="22"/>
        </w:rPr>
        <w:t xml:space="preserve">of </w:t>
      </w:r>
      <w:r w:rsidR="006842FB">
        <w:rPr>
          <w:rFonts w:ascii="Times New Roman" w:hAnsi="Times New Roman" w:cs="Times New Roman"/>
          <w:sz w:val="22"/>
          <w:szCs w:val="22"/>
        </w:rPr>
        <w:t xml:space="preserve">all </w:t>
      </w:r>
      <w:r w:rsidR="009667FC" w:rsidRPr="009667FC">
        <w:rPr>
          <w:rFonts w:ascii="Times New Roman" w:hAnsi="Times New Roman" w:cs="Times New Roman"/>
          <w:sz w:val="22"/>
          <w:szCs w:val="22"/>
        </w:rPr>
        <w:t>children</w:t>
      </w:r>
      <w:r w:rsidR="006842FB">
        <w:rPr>
          <w:rFonts w:ascii="Times New Roman" w:hAnsi="Times New Roman" w:cs="Times New Roman"/>
          <w:sz w:val="22"/>
          <w:szCs w:val="22"/>
        </w:rPr>
        <w:t xml:space="preserve">, particularly children of </w:t>
      </w:r>
      <w:r w:rsidR="009667FC" w:rsidRPr="009667FC">
        <w:rPr>
          <w:rFonts w:ascii="Times New Roman" w:hAnsi="Times New Roman" w:cs="Times New Roman"/>
          <w:sz w:val="22"/>
          <w:szCs w:val="22"/>
        </w:rPr>
        <w:t xml:space="preserve">color or </w:t>
      </w:r>
      <w:r w:rsidR="00F14A3B">
        <w:rPr>
          <w:rFonts w:ascii="Times New Roman" w:hAnsi="Times New Roman" w:cs="Times New Roman"/>
          <w:sz w:val="22"/>
          <w:szCs w:val="22"/>
        </w:rPr>
        <w:t xml:space="preserve">underserved </w:t>
      </w:r>
      <w:r w:rsidR="009667FC" w:rsidRPr="009667FC">
        <w:rPr>
          <w:rFonts w:ascii="Times New Roman" w:hAnsi="Times New Roman" w:cs="Times New Roman"/>
          <w:sz w:val="22"/>
          <w:szCs w:val="22"/>
        </w:rPr>
        <w:t xml:space="preserve">youth in </w:t>
      </w:r>
      <w:r w:rsidR="00102324" w:rsidRPr="009667FC">
        <w:rPr>
          <w:rFonts w:ascii="Times New Roman" w:hAnsi="Times New Roman" w:cs="Times New Roman"/>
          <w:sz w:val="22"/>
          <w:szCs w:val="22"/>
        </w:rPr>
        <w:t>economically</w:t>
      </w:r>
      <w:r w:rsidR="00102324">
        <w:rPr>
          <w:rFonts w:ascii="Times New Roman" w:hAnsi="Times New Roman" w:cs="Times New Roman"/>
          <w:sz w:val="22"/>
          <w:szCs w:val="22"/>
        </w:rPr>
        <w:t xml:space="preserve"> deprived</w:t>
      </w:r>
      <w:r w:rsidR="009667FC" w:rsidRPr="009667FC">
        <w:rPr>
          <w:rFonts w:ascii="Times New Roman" w:hAnsi="Times New Roman" w:cs="Times New Roman"/>
          <w:sz w:val="22"/>
          <w:szCs w:val="22"/>
        </w:rPr>
        <w:t xml:space="preserve"> communities.</w:t>
      </w:r>
    </w:p>
    <w:p w:rsidR="00F64A3A" w:rsidRPr="003D68C7" w:rsidRDefault="00E0242C" w:rsidP="00933F7B">
      <w:pPr>
        <w:pStyle w:val="Default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68C7">
        <w:rPr>
          <w:rFonts w:ascii="Times New Roman" w:hAnsi="Times New Roman" w:cs="Times New Roman"/>
          <w:b/>
          <w:bCs/>
          <w:sz w:val="22"/>
          <w:szCs w:val="22"/>
          <w:u w:val="single"/>
        </w:rPr>
        <w:t>Supporting Educators Across the Career Continuum</w:t>
      </w:r>
      <w:r w:rsidR="00753F65" w:rsidRPr="003D68C7">
        <w:rPr>
          <w:rFonts w:ascii="Times New Roman" w:hAnsi="Times New Roman" w:cs="Times New Roman"/>
          <w:sz w:val="22"/>
          <w:szCs w:val="22"/>
        </w:rPr>
        <w:t xml:space="preserve">: </w:t>
      </w:r>
      <w:r w:rsidR="009667FC" w:rsidRPr="003D68C7">
        <w:rPr>
          <w:rFonts w:ascii="Times New Roman" w:hAnsi="Times New Roman" w:cs="Times New Roman"/>
          <w:sz w:val="22"/>
          <w:szCs w:val="22"/>
        </w:rPr>
        <w:t xml:space="preserve"> </w:t>
      </w:r>
      <w:r w:rsidR="003C4A62" w:rsidRPr="003D68C7">
        <w:rPr>
          <w:rFonts w:ascii="Times New Roman" w:hAnsi="Times New Roman" w:cs="Times New Roman"/>
          <w:sz w:val="22"/>
          <w:szCs w:val="22"/>
        </w:rPr>
        <w:t>The focus of these grants is to assist Affiliate engagement in programs and activities designed to support all educators across their career continuum to ensure student success.</w:t>
      </w:r>
      <w:r w:rsidR="00233AEA" w:rsidRPr="003D68C7">
        <w:rPr>
          <w:rFonts w:ascii="Times New Roman" w:hAnsi="Times New Roman" w:cs="Times New Roman"/>
          <w:sz w:val="22"/>
          <w:szCs w:val="22"/>
        </w:rPr>
        <w:t xml:space="preserve"> </w:t>
      </w:r>
      <w:r w:rsidR="00753F65" w:rsidRPr="003D68C7">
        <w:rPr>
          <w:rFonts w:ascii="Times New Roman" w:hAnsi="Times New Roman" w:cs="Times New Roman"/>
          <w:sz w:val="22"/>
          <w:szCs w:val="22"/>
        </w:rPr>
        <w:t xml:space="preserve"> </w:t>
      </w:r>
      <w:r w:rsidR="001F6057" w:rsidRPr="003D68C7">
        <w:rPr>
          <w:rFonts w:ascii="Times New Roman" w:hAnsi="Times New Roman" w:cs="Times New Roman"/>
          <w:sz w:val="22"/>
          <w:szCs w:val="22"/>
        </w:rPr>
        <w:t xml:space="preserve">Within this focus, a priority </w:t>
      </w:r>
      <w:proofErr w:type="gramStart"/>
      <w:r w:rsidR="001F6057" w:rsidRPr="003D68C7">
        <w:rPr>
          <w:rFonts w:ascii="Times New Roman" w:hAnsi="Times New Roman" w:cs="Times New Roman"/>
          <w:sz w:val="22"/>
          <w:szCs w:val="22"/>
        </w:rPr>
        <w:t>is given</w:t>
      </w:r>
      <w:proofErr w:type="gramEnd"/>
      <w:r w:rsidR="001F6057" w:rsidRPr="003D68C7">
        <w:rPr>
          <w:rFonts w:ascii="Times New Roman" w:hAnsi="Times New Roman" w:cs="Times New Roman"/>
          <w:sz w:val="22"/>
          <w:szCs w:val="22"/>
        </w:rPr>
        <w:t xml:space="preserve"> to supporting the retention and professional success of educators of color.</w:t>
      </w:r>
    </w:p>
    <w:p w:rsidR="00A476CA" w:rsidRDefault="00A476CA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17C98" w:rsidRPr="00AE39E9" w:rsidRDefault="0062021D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F354FC" w:rsidRPr="00AE39E9">
        <w:rPr>
          <w:rFonts w:ascii="Times New Roman" w:hAnsi="Times New Roman" w:cs="Times New Roman"/>
          <w:sz w:val="22"/>
          <w:szCs w:val="22"/>
        </w:rPr>
        <w:t>ll g</w:t>
      </w:r>
      <w:r w:rsidR="00102324">
        <w:rPr>
          <w:rFonts w:ascii="Times New Roman" w:hAnsi="Times New Roman" w:cs="Times New Roman"/>
          <w:sz w:val="22"/>
          <w:szCs w:val="22"/>
        </w:rPr>
        <w:t xml:space="preserve">rantees </w:t>
      </w:r>
      <w:proofErr w:type="gramStart"/>
      <w:r w:rsidR="00102324">
        <w:rPr>
          <w:rFonts w:ascii="Times New Roman" w:hAnsi="Times New Roman" w:cs="Times New Roman"/>
          <w:sz w:val="22"/>
          <w:szCs w:val="22"/>
        </w:rPr>
        <w:t>will be</w:t>
      </w:r>
      <w:r w:rsidR="00753F65" w:rsidRPr="00AE39E9">
        <w:rPr>
          <w:rFonts w:ascii="Times New Roman" w:hAnsi="Times New Roman" w:cs="Times New Roman"/>
          <w:sz w:val="22"/>
          <w:szCs w:val="22"/>
        </w:rPr>
        <w:t xml:space="preserve"> expected</w:t>
      </w:r>
      <w:proofErr w:type="gramEnd"/>
      <w:r w:rsidR="00753F65" w:rsidRPr="00AE39E9">
        <w:rPr>
          <w:rFonts w:ascii="Times New Roman" w:hAnsi="Times New Roman" w:cs="Times New Roman"/>
          <w:sz w:val="22"/>
          <w:szCs w:val="22"/>
        </w:rPr>
        <w:t xml:space="preserve"> to participate in a grant reporting and evaluation process </w:t>
      </w:r>
      <w:r w:rsidR="00F64A3A" w:rsidRPr="00AE39E9">
        <w:rPr>
          <w:rFonts w:ascii="Times New Roman" w:hAnsi="Times New Roman" w:cs="Times New Roman"/>
          <w:sz w:val="22"/>
          <w:szCs w:val="22"/>
        </w:rPr>
        <w:t xml:space="preserve">during and </w:t>
      </w:r>
      <w:r w:rsidR="00753F65" w:rsidRPr="00AE39E9">
        <w:rPr>
          <w:rFonts w:ascii="Times New Roman" w:hAnsi="Times New Roman" w:cs="Times New Roman"/>
          <w:sz w:val="22"/>
          <w:szCs w:val="22"/>
        </w:rPr>
        <w:t xml:space="preserve">at </w:t>
      </w:r>
      <w:r w:rsidR="00C10B91" w:rsidRPr="00AE39E9">
        <w:rPr>
          <w:rFonts w:ascii="Times New Roman" w:hAnsi="Times New Roman" w:cs="Times New Roman"/>
          <w:sz w:val="22"/>
          <w:szCs w:val="22"/>
        </w:rPr>
        <w:t>the close of the funding cycle</w:t>
      </w:r>
      <w:r w:rsidR="00517C98" w:rsidRPr="00AE39E9">
        <w:rPr>
          <w:rFonts w:ascii="Times New Roman" w:hAnsi="Times New Roman" w:cs="Times New Roman"/>
          <w:sz w:val="22"/>
          <w:szCs w:val="22"/>
        </w:rPr>
        <w:t xml:space="preserve"> (with</w:t>
      </w:r>
      <w:r w:rsidR="00C10B91" w:rsidRPr="00AE39E9">
        <w:rPr>
          <w:rFonts w:ascii="Times New Roman" w:hAnsi="Times New Roman" w:cs="Times New Roman"/>
          <w:sz w:val="22"/>
          <w:szCs w:val="22"/>
        </w:rPr>
        <w:t xml:space="preserve"> continued funding contingent upon satisfactory progress reporting</w:t>
      </w:r>
      <w:r w:rsidR="00517C98" w:rsidRPr="00AE39E9">
        <w:rPr>
          <w:rFonts w:ascii="Times New Roman" w:hAnsi="Times New Roman" w:cs="Times New Roman"/>
          <w:sz w:val="22"/>
          <w:szCs w:val="22"/>
        </w:rPr>
        <w:t>)</w:t>
      </w:r>
      <w:r w:rsidR="00C10B91" w:rsidRPr="00AE39E9">
        <w:rPr>
          <w:rFonts w:ascii="Times New Roman" w:hAnsi="Times New Roman" w:cs="Times New Roman"/>
          <w:sz w:val="22"/>
          <w:szCs w:val="22"/>
        </w:rPr>
        <w:t>.</w:t>
      </w:r>
      <w:r w:rsidR="00517C98" w:rsidRPr="00AE39E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17C98" w:rsidRPr="00AE39E9" w:rsidRDefault="00517C98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10B91" w:rsidRDefault="00102324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State and Local A</w:t>
      </w:r>
      <w:r w:rsidR="00C10B91" w:rsidRPr="00AE39E9">
        <w:rPr>
          <w:rFonts w:ascii="Times New Roman" w:hAnsi="Times New Roman" w:cs="Times New Roman"/>
          <w:sz w:val="22"/>
          <w:szCs w:val="22"/>
        </w:rPr>
        <w:t xml:space="preserve">ffiliates </w:t>
      </w:r>
      <w:r>
        <w:rPr>
          <w:rFonts w:ascii="Times New Roman" w:hAnsi="Times New Roman" w:cs="Times New Roman"/>
          <w:sz w:val="22"/>
          <w:szCs w:val="22"/>
        </w:rPr>
        <w:t xml:space="preserve">of NEA </w:t>
      </w:r>
      <w:r w:rsidR="00642CB9">
        <w:rPr>
          <w:rFonts w:ascii="Times New Roman" w:hAnsi="Times New Roman" w:cs="Times New Roman"/>
          <w:sz w:val="22"/>
          <w:szCs w:val="22"/>
        </w:rPr>
        <w:t xml:space="preserve">are eligible and </w:t>
      </w:r>
      <w:r w:rsidR="00C10B91" w:rsidRPr="00AE39E9">
        <w:rPr>
          <w:rFonts w:ascii="Times New Roman" w:hAnsi="Times New Roman" w:cs="Times New Roman"/>
          <w:sz w:val="22"/>
          <w:szCs w:val="22"/>
        </w:rPr>
        <w:t xml:space="preserve">may apply for </w:t>
      </w:r>
      <w:r w:rsidR="00871B82" w:rsidRPr="00AE39E9">
        <w:rPr>
          <w:rFonts w:ascii="Times New Roman" w:hAnsi="Times New Roman" w:cs="Times New Roman"/>
          <w:sz w:val="22"/>
          <w:szCs w:val="22"/>
        </w:rPr>
        <w:t>S</w:t>
      </w:r>
      <w:r w:rsidR="005A289E">
        <w:rPr>
          <w:rFonts w:ascii="Times New Roman" w:hAnsi="Times New Roman" w:cs="Times New Roman"/>
          <w:sz w:val="22"/>
          <w:szCs w:val="22"/>
        </w:rPr>
        <w:t xml:space="preserve">tate &amp; </w:t>
      </w:r>
      <w:r w:rsidR="00065686" w:rsidRPr="00AE39E9">
        <w:rPr>
          <w:rFonts w:ascii="Times New Roman" w:hAnsi="Times New Roman" w:cs="Times New Roman"/>
          <w:sz w:val="22"/>
          <w:szCs w:val="22"/>
        </w:rPr>
        <w:t xml:space="preserve">Local </w:t>
      </w:r>
      <w:r w:rsidR="00595FAE">
        <w:rPr>
          <w:rFonts w:ascii="Times New Roman" w:hAnsi="Times New Roman" w:cs="Times New Roman"/>
          <w:sz w:val="22"/>
          <w:szCs w:val="22"/>
        </w:rPr>
        <w:t>Project</w:t>
      </w:r>
      <w:r w:rsidR="00871B82" w:rsidRPr="00AE39E9">
        <w:rPr>
          <w:rFonts w:ascii="Times New Roman" w:hAnsi="Times New Roman" w:cs="Times New Roman"/>
          <w:sz w:val="22"/>
          <w:szCs w:val="22"/>
        </w:rPr>
        <w:t xml:space="preserve"> </w:t>
      </w:r>
      <w:r w:rsidR="00595FAE">
        <w:rPr>
          <w:rFonts w:ascii="Times New Roman" w:hAnsi="Times New Roman" w:cs="Times New Roman"/>
          <w:sz w:val="22"/>
          <w:szCs w:val="22"/>
        </w:rPr>
        <w:t>G</w:t>
      </w:r>
      <w:r w:rsidR="00C10B91" w:rsidRPr="00AE39E9">
        <w:rPr>
          <w:rFonts w:ascii="Times New Roman" w:hAnsi="Times New Roman" w:cs="Times New Roman"/>
          <w:sz w:val="22"/>
          <w:szCs w:val="22"/>
        </w:rPr>
        <w:t xml:space="preserve">rants </w:t>
      </w:r>
      <w:r w:rsidR="00F53EA0" w:rsidRPr="00AE39E9">
        <w:rPr>
          <w:rFonts w:ascii="Times New Roman" w:hAnsi="Times New Roman" w:cs="Times New Roman"/>
          <w:sz w:val="22"/>
          <w:szCs w:val="22"/>
        </w:rPr>
        <w:t>through</w:t>
      </w:r>
      <w:r w:rsidR="00C10B91" w:rsidRPr="00AE39E9">
        <w:rPr>
          <w:rFonts w:ascii="Times New Roman" w:hAnsi="Times New Roman" w:cs="Times New Roman"/>
          <w:sz w:val="22"/>
          <w:szCs w:val="22"/>
        </w:rPr>
        <w:t xml:space="preserve"> the NEA </w:t>
      </w:r>
      <w:hyperlink r:id="rId7" w:history="1">
        <w:r w:rsidR="00C10B91" w:rsidRPr="00FB297E">
          <w:rPr>
            <w:rStyle w:val="Hyperlink"/>
            <w:rFonts w:ascii="Times New Roman" w:hAnsi="Times New Roman" w:cs="Times New Roman"/>
            <w:b/>
            <w:sz w:val="22"/>
            <w:szCs w:val="22"/>
          </w:rPr>
          <w:t>website</w:t>
        </w:r>
      </w:hyperlink>
      <w:r w:rsidR="00C10B91" w:rsidRPr="00FB297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10B91" w:rsidRPr="00AE39E9">
        <w:rPr>
          <w:rFonts w:ascii="Times New Roman" w:hAnsi="Times New Roman" w:cs="Times New Roman"/>
          <w:sz w:val="22"/>
          <w:szCs w:val="22"/>
        </w:rPr>
        <w:t xml:space="preserve">  </w:t>
      </w:r>
      <w:r w:rsidR="000743D7" w:rsidRPr="00AE39E9">
        <w:rPr>
          <w:rFonts w:ascii="Times New Roman" w:hAnsi="Times New Roman" w:cs="Times New Roman"/>
          <w:sz w:val="22"/>
          <w:szCs w:val="22"/>
        </w:rPr>
        <w:t xml:space="preserve">In order to </w:t>
      </w:r>
      <w:proofErr w:type="gramStart"/>
      <w:r w:rsidR="000743D7" w:rsidRPr="00AE39E9">
        <w:rPr>
          <w:rFonts w:ascii="Times New Roman" w:hAnsi="Times New Roman" w:cs="Times New Roman"/>
          <w:sz w:val="22"/>
          <w:szCs w:val="22"/>
        </w:rPr>
        <w:t>be considered</w:t>
      </w:r>
      <w:proofErr w:type="gramEnd"/>
      <w:r w:rsidR="000743D7" w:rsidRPr="00AE39E9">
        <w:rPr>
          <w:rFonts w:ascii="Times New Roman" w:hAnsi="Times New Roman" w:cs="Times New Roman"/>
          <w:sz w:val="22"/>
          <w:szCs w:val="22"/>
        </w:rPr>
        <w:t>, each grant proposal should include both narrative and budgetary information</w:t>
      </w:r>
      <w:r w:rsidR="00F44750" w:rsidRPr="00AE39E9">
        <w:rPr>
          <w:rFonts w:ascii="Times New Roman" w:hAnsi="Times New Roman" w:cs="Times New Roman"/>
          <w:sz w:val="22"/>
          <w:szCs w:val="22"/>
        </w:rPr>
        <w:t xml:space="preserve"> (</w:t>
      </w:r>
      <w:r w:rsidR="00311CF9" w:rsidRPr="00AE39E9">
        <w:rPr>
          <w:rFonts w:ascii="Times New Roman" w:hAnsi="Times New Roman" w:cs="Times New Roman"/>
          <w:sz w:val="22"/>
          <w:szCs w:val="22"/>
        </w:rPr>
        <w:t xml:space="preserve">with </w:t>
      </w:r>
      <w:r w:rsidR="00F44750" w:rsidRPr="00AE39E9">
        <w:rPr>
          <w:rFonts w:ascii="Times New Roman" w:hAnsi="Times New Roman" w:cs="Times New Roman"/>
          <w:sz w:val="22"/>
          <w:szCs w:val="22"/>
        </w:rPr>
        <w:t xml:space="preserve">budget </w:t>
      </w:r>
      <w:r w:rsidR="009F556B" w:rsidRPr="00AE39E9">
        <w:rPr>
          <w:rFonts w:ascii="Times New Roman" w:hAnsi="Times New Roman" w:cs="Times New Roman"/>
          <w:sz w:val="22"/>
          <w:szCs w:val="22"/>
        </w:rPr>
        <w:t>d</w:t>
      </w:r>
      <w:r w:rsidR="00311CF9" w:rsidRPr="00AE39E9">
        <w:rPr>
          <w:rFonts w:ascii="Times New Roman" w:hAnsi="Times New Roman" w:cs="Times New Roman"/>
          <w:sz w:val="22"/>
          <w:szCs w:val="22"/>
        </w:rPr>
        <w:t>ata tied directly</w:t>
      </w:r>
      <w:r w:rsidR="009F556B" w:rsidRPr="00AE39E9">
        <w:rPr>
          <w:rFonts w:ascii="Times New Roman" w:hAnsi="Times New Roman" w:cs="Times New Roman"/>
          <w:sz w:val="22"/>
          <w:szCs w:val="22"/>
        </w:rPr>
        <w:t xml:space="preserve"> to</w:t>
      </w:r>
      <w:r w:rsidR="00C77F4C" w:rsidRPr="00AE39E9">
        <w:rPr>
          <w:rFonts w:ascii="Times New Roman" w:hAnsi="Times New Roman" w:cs="Times New Roman"/>
          <w:sz w:val="22"/>
          <w:szCs w:val="22"/>
        </w:rPr>
        <w:t xml:space="preserve"> the proposed activities</w:t>
      </w:r>
      <w:r w:rsidR="00F44750" w:rsidRPr="00AE39E9">
        <w:rPr>
          <w:rFonts w:ascii="Times New Roman" w:hAnsi="Times New Roman" w:cs="Times New Roman"/>
          <w:sz w:val="22"/>
          <w:szCs w:val="22"/>
        </w:rPr>
        <w:t>)</w:t>
      </w:r>
      <w:r w:rsidR="000743D7" w:rsidRPr="00AE39E9">
        <w:rPr>
          <w:rFonts w:ascii="Times New Roman" w:hAnsi="Times New Roman" w:cs="Times New Roman"/>
          <w:sz w:val="22"/>
          <w:szCs w:val="22"/>
        </w:rPr>
        <w:t>.</w:t>
      </w:r>
      <w:r w:rsidR="00C10B91" w:rsidRPr="00AE39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3A5" w:rsidRDefault="004303A5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303A5" w:rsidRPr="004303A5" w:rsidRDefault="00141BFF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Grant applications </w:t>
      </w:r>
      <w:proofErr w:type="gramStart"/>
      <w:r>
        <w:rPr>
          <w:rFonts w:ascii="Times New Roman" w:hAnsi="Times New Roman" w:cs="Times New Roman"/>
          <w:sz w:val="22"/>
          <w:szCs w:val="22"/>
        </w:rPr>
        <w:t>are accepted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on a r</w:t>
      </w:r>
      <w:r w:rsidR="004303A5" w:rsidRPr="004303A5">
        <w:rPr>
          <w:rFonts w:ascii="Times New Roman" w:hAnsi="Times New Roman" w:cs="Times New Roman"/>
          <w:sz w:val="22"/>
          <w:szCs w:val="22"/>
        </w:rPr>
        <w:t>olling deadline throughout the year, contingent upon available funding.</w:t>
      </w:r>
    </w:p>
    <w:p w:rsidR="00720133" w:rsidRDefault="00720133" w:rsidP="00933F7B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E6FE6" w:rsidRPr="005A1571" w:rsidRDefault="00720133" w:rsidP="00933F7B">
      <w:pPr>
        <w:pStyle w:val="Default"/>
        <w:spacing w:line="252" w:lineRule="auto"/>
        <w:jc w:val="both"/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For </w:t>
      </w:r>
      <w:r w:rsidR="002F75B3">
        <w:rPr>
          <w:rFonts w:ascii="Times New Roman" w:hAnsi="Times New Roman" w:cs="Times New Roman"/>
          <w:sz w:val="22"/>
          <w:szCs w:val="22"/>
        </w:rPr>
        <w:t xml:space="preserve">additional </w:t>
      </w:r>
      <w:r>
        <w:rPr>
          <w:rFonts w:ascii="Times New Roman" w:hAnsi="Times New Roman" w:cs="Times New Roman"/>
          <w:sz w:val="22"/>
          <w:szCs w:val="22"/>
        </w:rPr>
        <w:t>in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formation about </w:t>
      </w:r>
      <w:r w:rsidR="00DF4EB6">
        <w:rPr>
          <w:rFonts w:ascii="Times New Roman" w:hAnsi="Times New Roman" w:cs="Times New Roman"/>
          <w:sz w:val="22"/>
          <w:szCs w:val="22"/>
        </w:rPr>
        <w:t>State</w:t>
      </w:r>
      <w:r w:rsidR="005A289E">
        <w:rPr>
          <w:rFonts w:ascii="Times New Roman" w:hAnsi="Times New Roman" w:cs="Times New Roman"/>
          <w:sz w:val="22"/>
          <w:szCs w:val="22"/>
        </w:rPr>
        <w:t xml:space="preserve"> &amp; </w:t>
      </w:r>
      <w:r w:rsidR="00065686">
        <w:rPr>
          <w:rFonts w:ascii="Times New Roman" w:hAnsi="Times New Roman" w:cs="Times New Roman"/>
          <w:sz w:val="22"/>
          <w:szCs w:val="22"/>
        </w:rPr>
        <w:t xml:space="preserve">Local </w:t>
      </w:r>
      <w:r w:rsidR="00595FAE">
        <w:rPr>
          <w:rFonts w:ascii="Times New Roman" w:hAnsi="Times New Roman" w:cs="Times New Roman"/>
          <w:sz w:val="22"/>
          <w:szCs w:val="22"/>
        </w:rPr>
        <w:t>Project</w:t>
      </w:r>
      <w:r w:rsidR="004433B2">
        <w:rPr>
          <w:rFonts w:ascii="Times New Roman" w:hAnsi="Times New Roman" w:cs="Times New Roman"/>
          <w:sz w:val="22"/>
          <w:szCs w:val="22"/>
        </w:rPr>
        <w:t xml:space="preserve"> </w:t>
      </w:r>
      <w:r w:rsidR="00595FAE">
        <w:rPr>
          <w:rFonts w:ascii="Times New Roman" w:hAnsi="Times New Roman" w:cs="Times New Roman"/>
          <w:sz w:val="22"/>
          <w:szCs w:val="22"/>
        </w:rPr>
        <w:t>G</w:t>
      </w:r>
      <w:r w:rsidR="004433B2">
        <w:rPr>
          <w:rFonts w:ascii="Times New Roman" w:hAnsi="Times New Roman" w:cs="Times New Roman"/>
          <w:sz w:val="22"/>
          <w:szCs w:val="22"/>
        </w:rPr>
        <w:t>rants</w:t>
      </w:r>
      <w:r w:rsidR="00872895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please </w:t>
      </w:r>
      <w:r w:rsidR="00101469">
        <w:rPr>
          <w:rFonts w:ascii="Times New Roman" w:hAnsi="Times New Roman" w:cs="Times New Roman"/>
          <w:sz w:val="22"/>
          <w:szCs w:val="22"/>
        </w:rPr>
        <w:t xml:space="preserve">email </w:t>
      </w:r>
      <w:hyperlink r:id="rId8" w:history="1">
        <w:r w:rsidRPr="00FB297E">
          <w:rPr>
            <w:rStyle w:val="Hyperlink"/>
            <w:rFonts w:ascii="Times New Roman" w:hAnsi="Times New Roman" w:cs="Times New Roman"/>
            <w:b/>
            <w:sz w:val="22"/>
            <w:szCs w:val="22"/>
          </w:rPr>
          <w:t>CGPS-PF@nea.org</w:t>
        </w:r>
      </w:hyperlink>
      <w:r w:rsidRPr="00FB297E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</w:p>
    <w:sectPr w:rsidR="007E6FE6" w:rsidRPr="005A157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0F" w:rsidRDefault="0004080F" w:rsidP="00753F65">
      <w:pPr>
        <w:spacing w:after="0" w:line="240" w:lineRule="auto"/>
      </w:pPr>
      <w:r>
        <w:separator/>
      </w:r>
    </w:p>
  </w:endnote>
  <w:endnote w:type="continuationSeparator" w:id="0">
    <w:p w:rsidR="0004080F" w:rsidRDefault="0004080F" w:rsidP="0075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910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4080F" w:rsidRPr="00140356" w:rsidRDefault="0004080F" w:rsidP="00FE54C5">
        <w:pPr>
          <w:pStyle w:val="Footer"/>
          <w:rPr>
            <w:rFonts w:ascii="Times New Roman" w:hAnsi="Times New Roman" w:cs="Times New Roman"/>
          </w:rPr>
        </w:pPr>
        <w:r w:rsidRPr="00AE39E9">
          <w:rPr>
            <w:rFonts w:ascii="Times New Roman" w:hAnsi="Times New Roman" w:cs="Times New Roman"/>
            <w:sz w:val="18"/>
            <w:szCs w:val="18"/>
          </w:rPr>
          <w:t>Updated</w:t>
        </w:r>
        <w:r w:rsidR="00475457">
          <w:rPr>
            <w:rFonts w:ascii="Times New Roman" w:hAnsi="Times New Roman" w:cs="Times New Roman"/>
            <w:sz w:val="18"/>
            <w:szCs w:val="18"/>
          </w:rPr>
          <w:t>: September 2022</w:t>
        </w:r>
        <w:r>
          <w:t xml:space="preserve"> </w:t>
        </w:r>
        <w:r>
          <w:tab/>
        </w:r>
        <w:r>
          <w:tab/>
        </w:r>
      </w:p>
    </w:sdtContent>
  </w:sdt>
  <w:p w:rsidR="0004080F" w:rsidRDefault="00040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0F" w:rsidRDefault="0004080F" w:rsidP="00753F65">
      <w:pPr>
        <w:spacing w:after="0" w:line="240" w:lineRule="auto"/>
      </w:pPr>
      <w:r>
        <w:separator/>
      </w:r>
    </w:p>
  </w:footnote>
  <w:footnote w:type="continuationSeparator" w:id="0">
    <w:p w:rsidR="0004080F" w:rsidRDefault="0004080F" w:rsidP="0075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0F" w:rsidRDefault="001B4DA1" w:rsidP="004209CF">
    <w:pPr>
      <w:pStyle w:val="Default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1B4DA1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-104775</wp:posOffset>
          </wp:positionV>
          <wp:extent cx="686637" cy="76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3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80F" w:rsidRPr="004209CF" w:rsidRDefault="001B4DA1" w:rsidP="004209CF">
    <w:pPr>
      <w:pStyle w:val="Defaul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Professional Excellence &amp; Student Learning</w:t>
    </w:r>
  </w:p>
  <w:p w:rsidR="0004080F" w:rsidRPr="00BF19E6" w:rsidRDefault="001B4DA1" w:rsidP="004209CF">
    <w:pPr>
      <w:pStyle w:val="Default"/>
      <w:spacing w:after="120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bCs/>
        <w:sz w:val="22"/>
        <w:szCs w:val="22"/>
      </w:rPr>
      <w:t xml:space="preserve">State &amp; </w:t>
    </w:r>
    <w:r w:rsidR="0004080F" w:rsidRPr="00BF19E6">
      <w:rPr>
        <w:rFonts w:ascii="Times New Roman" w:hAnsi="Times New Roman" w:cs="Times New Roman"/>
        <w:bCs/>
        <w:sz w:val="22"/>
        <w:szCs w:val="22"/>
      </w:rPr>
      <w:t xml:space="preserve">Local </w:t>
    </w:r>
    <w:r w:rsidR="0004080F">
      <w:rPr>
        <w:rFonts w:ascii="Times New Roman" w:hAnsi="Times New Roman" w:cs="Times New Roman"/>
        <w:bCs/>
        <w:sz w:val="22"/>
        <w:szCs w:val="22"/>
      </w:rPr>
      <w:t xml:space="preserve">Project </w:t>
    </w:r>
    <w:r w:rsidR="0004080F" w:rsidRPr="00BF19E6">
      <w:rPr>
        <w:rFonts w:ascii="Times New Roman" w:hAnsi="Times New Roman" w:cs="Times New Roman"/>
        <w:bCs/>
        <w:sz w:val="22"/>
        <w:szCs w:val="22"/>
      </w:rPr>
      <w:t>Grant Guidelines</w:t>
    </w:r>
  </w:p>
  <w:p w:rsidR="0004080F" w:rsidRPr="00D338A7" w:rsidRDefault="0004080F" w:rsidP="00753F65">
    <w:pPr>
      <w:pStyle w:val="Header"/>
      <w:jc w:val="cent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0C7"/>
    <w:multiLevelType w:val="hybridMultilevel"/>
    <w:tmpl w:val="4A12E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C0D"/>
    <w:multiLevelType w:val="hybridMultilevel"/>
    <w:tmpl w:val="4B24F7DC"/>
    <w:lvl w:ilvl="0" w:tplc="F5D8E98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9A0"/>
    <w:multiLevelType w:val="hybridMultilevel"/>
    <w:tmpl w:val="38847BDC"/>
    <w:lvl w:ilvl="0" w:tplc="486CB2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A5A"/>
    <w:multiLevelType w:val="hybridMultilevel"/>
    <w:tmpl w:val="910E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4B68"/>
    <w:multiLevelType w:val="hybridMultilevel"/>
    <w:tmpl w:val="E25EAA76"/>
    <w:lvl w:ilvl="0" w:tplc="1CD2FAC6">
      <w:start w:val="1"/>
      <w:numFmt w:val="upperLetter"/>
      <w:lvlText w:val="%1."/>
      <w:lvlJc w:val="left"/>
      <w:pPr>
        <w:ind w:left="3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503E"/>
    <w:multiLevelType w:val="hybridMultilevel"/>
    <w:tmpl w:val="4FCCDC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BD2A48"/>
    <w:multiLevelType w:val="hybridMultilevel"/>
    <w:tmpl w:val="8B363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3F51"/>
    <w:multiLevelType w:val="hybridMultilevel"/>
    <w:tmpl w:val="1C240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118C"/>
    <w:multiLevelType w:val="hybridMultilevel"/>
    <w:tmpl w:val="A8426A2A"/>
    <w:lvl w:ilvl="0" w:tplc="D56C42B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335CB"/>
    <w:multiLevelType w:val="hybridMultilevel"/>
    <w:tmpl w:val="B2C49C0E"/>
    <w:lvl w:ilvl="0" w:tplc="68BC64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35965"/>
    <w:multiLevelType w:val="hybridMultilevel"/>
    <w:tmpl w:val="1E784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7673"/>
    <w:multiLevelType w:val="hybridMultilevel"/>
    <w:tmpl w:val="C792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421E"/>
    <w:multiLevelType w:val="hybridMultilevel"/>
    <w:tmpl w:val="90A2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51D6F"/>
    <w:multiLevelType w:val="hybridMultilevel"/>
    <w:tmpl w:val="DC7E8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4CA4"/>
    <w:multiLevelType w:val="hybridMultilevel"/>
    <w:tmpl w:val="0E4CBF22"/>
    <w:lvl w:ilvl="0" w:tplc="8AB82606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B4334"/>
    <w:multiLevelType w:val="hybridMultilevel"/>
    <w:tmpl w:val="D8084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580"/>
    <w:multiLevelType w:val="hybridMultilevel"/>
    <w:tmpl w:val="99D8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C58E1"/>
    <w:multiLevelType w:val="hybridMultilevel"/>
    <w:tmpl w:val="04488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813E4"/>
    <w:multiLevelType w:val="hybridMultilevel"/>
    <w:tmpl w:val="DFD810FC"/>
    <w:lvl w:ilvl="0" w:tplc="394CA7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B7101"/>
    <w:multiLevelType w:val="hybridMultilevel"/>
    <w:tmpl w:val="20F4B0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E1ED6"/>
    <w:multiLevelType w:val="hybridMultilevel"/>
    <w:tmpl w:val="69240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4471B"/>
    <w:multiLevelType w:val="hybridMultilevel"/>
    <w:tmpl w:val="DA5EF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1367A"/>
    <w:multiLevelType w:val="hybridMultilevel"/>
    <w:tmpl w:val="4ABA36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037E"/>
    <w:multiLevelType w:val="hybridMultilevel"/>
    <w:tmpl w:val="F1D62E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21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4"/>
  </w:num>
  <w:num w:numId="12">
    <w:abstractNumId w:val="22"/>
  </w:num>
  <w:num w:numId="13">
    <w:abstractNumId w:val="0"/>
  </w:num>
  <w:num w:numId="14">
    <w:abstractNumId w:val="16"/>
  </w:num>
  <w:num w:numId="15">
    <w:abstractNumId w:val="15"/>
  </w:num>
  <w:num w:numId="16">
    <w:abstractNumId w:val="1"/>
  </w:num>
  <w:num w:numId="17">
    <w:abstractNumId w:val="20"/>
  </w:num>
  <w:num w:numId="18">
    <w:abstractNumId w:val="14"/>
  </w:num>
  <w:num w:numId="19">
    <w:abstractNumId w:val="7"/>
  </w:num>
  <w:num w:numId="20">
    <w:abstractNumId w:val="6"/>
  </w:num>
  <w:num w:numId="21">
    <w:abstractNumId w:val="5"/>
  </w:num>
  <w:num w:numId="22">
    <w:abstractNumId w:val="2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65"/>
    <w:rsid w:val="000060C8"/>
    <w:rsid w:val="0001329C"/>
    <w:rsid w:val="00014AFC"/>
    <w:rsid w:val="00027EDC"/>
    <w:rsid w:val="00033776"/>
    <w:rsid w:val="0004080F"/>
    <w:rsid w:val="000423C1"/>
    <w:rsid w:val="000445FE"/>
    <w:rsid w:val="00065686"/>
    <w:rsid w:val="00067122"/>
    <w:rsid w:val="000743D7"/>
    <w:rsid w:val="000C6546"/>
    <w:rsid w:val="00101469"/>
    <w:rsid w:val="00102324"/>
    <w:rsid w:val="0011230A"/>
    <w:rsid w:val="00117EAD"/>
    <w:rsid w:val="00132433"/>
    <w:rsid w:val="0013585B"/>
    <w:rsid w:val="00135E04"/>
    <w:rsid w:val="00137706"/>
    <w:rsid w:val="00140356"/>
    <w:rsid w:val="00140680"/>
    <w:rsid w:val="00141BFF"/>
    <w:rsid w:val="00143D8B"/>
    <w:rsid w:val="00163C65"/>
    <w:rsid w:val="001743CD"/>
    <w:rsid w:val="00183845"/>
    <w:rsid w:val="00185528"/>
    <w:rsid w:val="001A3148"/>
    <w:rsid w:val="001B4DA1"/>
    <w:rsid w:val="001C772D"/>
    <w:rsid w:val="001D1559"/>
    <w:rsid w:val="001D7AA5"/>
    <w:rsid w:val="001F5321"/>
    <w:rsid w:val="001F6057"/>
    <w:rsid w:val="0022432A"/>
    <w:rsid w:val="00233AEA"/>
    <w:rsid w:val="00235E75"/>
    <w:rsid w:val="00287677"/>
    <w:rsid w:val="00287F1C"/>
    <w:rsid w:val="00297A19"/>
    <w:rsid w:val="002A01FA"/>
    <w:rsid w:val="002A59E5"/>
    <w:rsid w:val="002E70CD"/>
    <w:rsid w:val="002F5ABB"/>
    <w:rsid w:val="002F5EA5"/>
    <w:rsid w:val="002F680A"/>
    <w:rsid w:val="002F75B3"/>
    <w:rsid w:val="00311CF9"/>
    <w:rsid w:val="003235C9"/>
    <w:rsid w:val="00392613"/>
    <w:rsid w:val="003C4A62"/>
    <w:rsid w:val="003D68C7"/>
    <w:rsid w:val="003E4596"/>
    <w:rsid w:val="004063FC"/>
    <w:rsid w:val="00406D09"/>
    <w:rsid w:val="00410A38"/>
    <w:rsid w:val="00415F42"/>
    <w:rsid w:val="004209CF"/>
    <w:rsid w:val="00422925"/>
    <w:rsid w:val="004303A5"/>
    <w:rsid w:val="004433B2"/>
    <w:rsid w:val="00454D89"/>
    <w:rsid w:val="00466A60"/>
    <w:rsid w:val="00466BDB"/>
    <w:rsid w:val="00475457"/>
    <w:rsid w:val="004935B5"/>
    <w:rsid w:val="00496AF5"/>
    <w:rsid w:val="004978B6"/>
    <w:rsid w:val="004A75DA"/>
    <w:rsid w:val="004B0C38"/>
    <w:rsid w:val="004B4ADB"/>
    <w:rsid w:val="004E2B93"/>
    <w:rsid w:val="005144A7"/>
    <w:rsid w:val="00517C98"/>
    <w:rsid w:val="0056025E"/>
    <w:rsid w:val="00564716"/>
    <w:rsid w:val="00570DBD"/>
    <w:rsid w:val="005733F3"/>
    <w:rsid w:val="00573B77"/>
    <w:rsid w:val="005774D1"/>
    <w:rsid w:val="0058047C"/>
    <w:rsid w:val="00592B23"/>
    <w:rsid w:val="00593863"/>
    <w:rsid w:val="00595FAE"/>
    <w:rsid w:val="005A1571"/>
    <w:rsid w:val="005A289E"/>
    <w:rsid w:val="005B382D"/>
    <w:rsid w:val="005E50B6"/>
    <w:rsid w:val="005E7096"/>
    <w:rsid w:val="00616EC6"/>
    <w:rsid w:val="0062021D"/>
    <w:rsid w:val="00642CB9"/>
    <w:rsid w:val="00643043"/>
    <w:rsid w:val="006842FB"/>
    <w:rsid w:val="00687119"/>
    <w:rsid w:val="006C05D0"/>
    <w:rsid w:val="006C7D44"/>
    <w:rsid w:val="006D6AC7"/>
    <w:rsid w:val="006D7BBA"/>
    <w:rsid w:val="006E34C2"/>
    <w:rsid w:val="00702465"/>
    <w:rsid w:val="00703BB1"/>
    <w:rsid w:val="00705A2B"/>
    <w:rsid w:val="00705B94"/>
    <w:rsid w:val="007073BD"/>
    <w:rsid w:val="00720133"/>
    <w:rsid w:val="007346A6"/>
    <w:rsid w:val="007447FB"/>
    <w:rsid w:val="00745A1F"/>
    <w:rsid w:val="00753F65"/>
    <w:rsid w:val="00785333"/>
    <w:rsid w:val="00791710"/>
    <w:rsid w:val="007A7E6D"/>
    <w:rsid w:val="007A7F8D"/>
    <w:rsid w:val="007E1589"/>
    <w:rsid w:val="007E6FE6"/>
    <w:rsid w:val="007F3E4F"/>
    <w:rsid w:val="007F3EE7"/>
    <w:rsid w:val="00805AA9"/>
    <w:rsid w:val="0081346F"/>
    <w:rsid w:val="00814CB5"/>
    <w:rsid w:val="00816227"/>
    <w:rsid w:val="00861F3B"/>
    <w:rsid w:val="008647CC"/>
    <w:rsid w:val="0087092A"/>
    <w:rsid w:val="00871B82"/>
    <w:rsid w:val="00872895"/>
    <w:rsid w:val="00882303"/>
    <w:rsid w:val="008A01EC"/>
    <w:rsid w:val="008C5D0C"/>
    <w:rsid w:val="008E0491"/>
    <w:rsid w:val="008E302B"/>
    <w:rsid w:val="008E6EED"/>
    <w:rsid w:val="00933F7B"/>
    <w:rsid w:val="00955CE3"/>
    <w:rsid w:val="009667FC"/>
    <w:rsid w:val="00976075"/>
    <w:rsid w:val="00996F21"/>
    <w:rsid w:val="009977C7"/>
    <w:rsid w:val="009B365C"/>
    <w:rsid w:val="009C3382"/>
    <w:rsid w:val="009C69A3"/>
    <w:rsid w:val="009D7FE7"/>
    <w:rsid w:val="009E7B81"/>
    <w:rsid w:val="009F556B"/>
    <w:rsid w:val="009F62F2"/>
    <w:rsid w:val="00A16691"/>
    <w:rsid w:val="00A245CE"/>
    <w:rsid w:val="00A30179"/>
    <w:rsid w:val="00A3320C"/>
    <w:rsid w:val="00A33C7E"/>
    <w:rsid w:val="00A40477"/>
    <w:rsid w:val="00A476CA"/>
    <w:rsid w:val="00A7483D"/>
    <w:rsid w:val="00A82064"/>
    <w:rsid w:val="00AB5CDF"/>
    <w:rsid w:val="00AD16B7"/>
    <w:rsid w:val="00AD5BC2"/>
    <w:rsid w:val="00AE1F7A"/>
    <w:rsid w:val="00AE39E9"/>
    <w:rsid w:val="00AF590E"/>
    <w:rsid w:val="00B14E79"/>
    <w:rsid w:val="00B27807"/>
    <w:rsid w:val="00B36075"/>
    <w:rsid w:val="00B37588"/>
    <w:rsid w:val="00B5422A"/>
    <w:rsid w:val="00B65014"/>
    <w:rsid w:val="00B931DB"/>
    <w:rsid w:val="00BC4247"/>
    <w:rsid w:val="00BD5790"/>
    <w:rsid w:val="00BF19E6"/>
    <w:rsid w:val="00BF75CC"/>
    <w:rsid w:val="00C00531"/>
    <w:rsid w:val="00C10B91"/>
    <w:rsid w:val="00C17EDC"/>
    <w:rsid w:val="00C20079"/>
    <w:rsid w:val="00C5519D"/>
    <w:rsid w:val="00C639C0"/>
    <w:rsid w:val="00C642DF"/>
    <w:rsid w:val="00C726D3"/>
    <w:rsid w:val="00C77F4C"/>
    <w:rsid w:val="00CC5BFA"/>
    <w:rsid w:val="00CE0D96"/>
    <w:rsid w:val="00D04688"/>
    <w:rsid w:val="00D062EC"/>
    <w:rsid w:val="00D16F54"/>
    <w:rsid w:val="00D338A7"/>
    <w:rsid w:val="00D35B41"/>
    <w:rsid w:val="00D45BFA"/>
    <w:rsid w:val="00D57A55"/>
    <w:rsid w:val="00D649E6"/>
    <w:rsid w:val="00D657D4"/>
    <w:rsid w:val="00D72078"/>
    <w:rsid w:val="00D75AE3"/>
    <w:rsid w:val="00DB1F0E"/>
    <w:rsid w:val="00DE63C6"/>
    <w:rsid w:val="00DF4EB6"/>
    <w:rsid w:val="00E0242C"/>
    <w:rsid w:val="00E07265"/>
    <w:rsid w:val="00E20D1A"/>
    <w:rsid w:val="00E300CE"/>
    <w:rsid w:val="00E330C2"/>
    <w:rsid w:val="00E47D7C"/>
    <w:rsid w:val="00E47D94"/>
    <w:rsid w:val="00E563EC"/>
    <w:rsid w:val="00E811A4"/>
    <w:rsid w:val="00E97CF8"/>
    <w:rsid w:val="00EA7BD2"/>
    <w:rsid w:val="00EC2D03"/>
    <w:rsid w:val="00EE2CD1"/>
    <w:rsid w:val="00F14A3B"/>
    <w:rsid w:val="00F354FC"/>
    <w:rsid w:val="00F44750"/>
    <w:rsid w:val="00F53EA0"/>
    <w:rsid w:val="00F64A3A"/>
    <w:rsid w:val="00F738C0"/>
    <w:rsid w:val="00F94655"/>
    <w:rsid w:val="00FB297E"/>
    <w:rsid w:val="00FC6985"/>
    <w:rsid w:val="00FE0A18"/>
    <w:rsid w:val="00FE54C5"/>
    <w:rsid w:val="00FF28E5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A9394B9"/>
  <w15:docId w15:val="{1B646FA8-97EF-472E-8568-1BB9E6B5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F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3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F65"/>
  </w:style>
  <w:style w:type="paragraph" w:styleId="Footer">
    <w:name w:val="footer"/>
    <w:basedOn w:val="Normal"/>
    <w:link w:val="FooterChar"/>
    <w:uiPriority w:val="99"/>
    <w:unhideWhenUsed/>
    <w:rsid w:val="00753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F65"/>
  </w:style>
  <w:style w:type="character" w:styleId="Hyperlink">
    <w:name w:val="Hyperlink"/>
    <w:basedOn w:val="DefaultParagraphFont"/>
    <w:uiPriority w:val="99"/>
    <w:unhideWhenUsed/>
    <w:rsid w:val="00A332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7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PS-PF@ne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a.org/resource-library/center-great-public-schools-state-and-local-project-gra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Education Association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David [NEA]</dc:creator>
  <cp:lastModifiedBy>Boyd, David [NEA]</cp:lastModifiedBy>
  <cp:revision>122</cp:revision>
  <dcterms:created xsi:type="dcterms:W3CDTF">2015-05-19T16:01:00Z</dcterms:created>
  <dcterms:modified xsi:type="dcterms:W3CDTF">2022-09-08T01:21:00Z</dcterms:modified>
</cp:coreProperties>
</file>